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01" w:rsidRDefault="00846B01" w:rsidP="00846B01">
      <w:pPr>
        <w:shd w:val="clear" w:color="auto" w:fill="002060"/>
      </w:pPr>
    </w:p>
    <w:p w:rsidR="00846B01" w:rsidRDefault="00846B01" w:rsidP="00846B01">
      <w:pPr>
        <w:shd w:val="clear" w:color="auto" w:fill="002060"/>
      </w:pPr>
    </w:p>
    <w:p w:rsidR="00846B01" w:rsidRDefault="00287CED" w:rsidP="00846B01">
      <w:pPr>
        <w:shd w:val="clear" w:color="auto" w:fill="002060"/>
      </w:pPr>
      <w:r>
        <w:rPr>
          <w:noProof/>
          <w:lang w:eastAsia="en-AU"/>
        </w:rPr>
        <w:drawing>
          <wp:anchor distT="0" distB="0" distL="114300" distR="114300" simplePos="0" relativeHeight="251659264" behindDoc="0" locked="0" layoutInCell="1" allowOverlap="1" wp14:anchorId="70892DAC" wp14:editId="59AA186B">
            <wp:simplePos x="0" y="0"/>
            <wp:positionH relativeFrom="column">
              <wp:posOffset>5099685</wp:posOffset>
            </wp:positionH>
            <wp:positionV relativeFrom="paragraph">
              <wp:posOffset>-5715</wp:posOffset>
            </wp:positionV>
            <wp:extent cx="771525" cy="895350"/>
            <wp:effectExtent l="152400" t="152400" r="161925" b="152400"/>
            <wp:wrapNone/>
            <wp:docPr id="1" name="Picture 1" descr="Description: C:\Users\David Hargrave\Desktop\Liverpool Girls Schoo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vid Hargrave\Desktop\Liverpool Girls School - logo.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solidFill>
                      <a:srgbClr val="002060">
                        <a:alpha val="0"/>
                      </a:srgbClr>
                    </a:solidFill>
                    <a:ln>
                      <a:solidFill>
                        <a:srgbClr val="002060"/>
                      </a:solidFill>
                    </a:ln>
                    <a:effectLst>
                      <a:glow rad="127000">
                        <a:srgbClr val="002060"/>
                      </a:glow>
                    </a:effectLst>
                  </pic:spPr>
                </pic:pic>
              </a:graphicData>
            </a:graphic>
            <wp14:sizeRelH relativeFrom="page">
              <wp14:pctWidth>0</wp14:pctWidth>
            </wp14:sizeRelH>
            <wp14:sizeRelV relativeFrom="page">
              <wp14:pctHeight>0</wp14:pctHeight>
            </wp14:sizeRelV>
          </wp:anchor>
        </w:drawing>
      </w:r>
    </w:p>
    <w:p w:rsidR="00846B01" w:rsidRPr="00FD70E5" w:rsidRDefault="00846B01" w:rsidP="00846B01">
      <w:pPr>
        <w:shd w:val="clear" w:color="auto" w:fill="002060"/>
        <w:tabs>
          <w:tab w:val="left" w:pos="284"/>
        </w:tabs>
        <w:rPr>
          <w:b/>
          <w:sz w:val="28"/>
        </w:rPr>
      </w:pPr>
      <w:r>
        <w:rPr>
          <w:b/>
          <w:sz w:val="28"/>
        </w:rPr>
        <w:tab/>
      </w:r>
      <w:r w:rsidRPr="00FD70E5">
        <w:rPr>
          <w:b/>
          <w:sz w:val="28"/>
        </w:rPr>
        <w:t>Liverpool Girls</w:t>
      </w:r>
      <w:r>
        <w:rPr>
          <w:b/>
          <w:sz w:val="28"/>
        </w:rPr>
        <w:t>’</w:t>
      </w:r>
      <w:r w:rsidRPr="00FD70E5">
        <w:rPr>
          <w:b/>
          <w:sz w:val="28"/>
        </w:rPr>
        <w:t xml:space="preserve"> High School</w:t>
      </w:r>
    </w:p>
    <w:p w:rsidR="00846B01" w:rsidRPr="001779E4" w:rsidRDefault="00846B01" w:rsidP="00846B01">
      <w:pPr>
        <w:shd w:val="clear" w:color="auto" w:fill="002060"/>
        <w:tabs>
          <w:tab w:val="left" w:pos="284"/>
        </w:tabs>
        <w:rPr>
          <w:rFonts w:ascii="Brush Script MT" w:hAnsi="Brush Script MT" w:cs="Times New Roman"/>
          <w:i/>
          <w:sz w:val="28"/>
          <w:szCs w:val="24"/>
        </w:rPr>
      </w:pPr>
      <w:r w:rsidRPr="001779E4">
        <w:rPr>
          <w:rFonts w:ascii="Times New Roman" w:hAnsi="Times New Roman" w:cs="Times New Roman"/>
          <w:i/>
          <w:sz w:val="28"/>
          <w:szCs w:val="24"/>
        </w:rPr>
        <w:tab/>
      </w:r>
      <w:r w:rsidR="001779E4" w:rsidRPr="001779E4">
        <w:rPr>
          <w:rFonts w:ascii="Brush Script MT" w:hAnsi="Brush Script MT" w:cs="Times New Roman"/>
          <w:i/>
          <w:sz w:val="28"/>
          <w:szCs w:val="24"/>
        </w:rPr>
        <w:t>Innovation  Excellence  Learning</w:t>
      </w:r>
    </w:p>
    <w:p w:rsidR="00846B01" w:rsidRPr="00706C03" w:rsidRDefault="00846B01" w:rsidP="00846B01">
      <w:pPr>
        <w:shd w:val="clear" w:color="auto" w:fill="002060"/>
        <w:tabs>
          <w:tab w:val="left" w:pos="284"/>
        </w:tabs>
        <w:rPr>
          <w:i/>
        </w:rPr>
      </w:pPr>
      <w:r>
        <w:rPr>
          <w:rFonts w:ascii="Times New Roman" w:hAnsi="Times New Roman" w:cs="Times New Roman"/>
          <w:i/>
          <w:noProof/>
          <w:sz w:val="24"/>
          <w:szCs w:val="24"/>
          <w:lang w:eastAsia="en-AU"/>
        </w:rPr>
        <mc:AlternateContent>
          <mc:Choice Requires="wps">
            <w:drawing>
              <wp:anchor distT="0" distB="0" distL="114300" distR="114300" simplePos="0" relativeHeight="251660288" behindDoc="0" locked="0" layoutInCell="1" allowOverlap="1" wp14:anchorId="070A4CAC" wp14:editId="312C1A4F">
                <wp:simplePos x="0" y="0"/>
                <wp:positionH relativeFrom="column">
                  <wp:posOffset>108585</wp:posOffset>
                </wp:positionH>
                <wp:positionV relativeFrom="paragraph">
                  <wp:posOffset>149225</wp:posOffset>
                </wp:positionV>
                <wp:extent cx="4848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75pt" to="39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" strokecolor="white [3212]"/>
            </w:pict>
          </mc:Fallback>
        </mc:AlternateContent>
      </w:r>
    </w:p>
    <w:p w:rsidR="00846B01" w:rsidRDefault="00846B01" w:rsidP="00846B01">
      <w:pPr>
        <w:shd w:val="clear" w:color="auto" w:fill="002060"/>
        <w:tabs>
          <w:tab w:val="left" w:pos="284"/>
        </w:tabs>
      </w:pPr>
    </w:p>
    <w:p w:rsidR="00846B01" w:rsidRPr="00697C66" w:rsidRDefault="00846B01" w:rsidP="00573DF3">
      <w:pPr>
        <w:shd w:val="clear" w:color="auto" w:fill="002060"/>
        <w:tabs>
          <w:tab w:val="left" w:pos="284"/>
        </w:tabs>
        <w:rPr>
          <w:b/>
          <w:sz w:val="36"/>
          <w:szCs w:val="36"/>
        </w:rPr>
      </w:pPr>
      <w:r w:rsidRPr="00697C66">
        <w:rPr>
          <w:b/>
          <w:sz w:val="36"/>
          <w:szCs w:val="36"/>
        </w:rPr>
        <w:tab/>
      </w:r>
      <w:r w:rsidR="00801C75">
        <w:rPr>
          <w:b/>
          <w:sz w:val="36"/>
          <w:szCs w:val="36"/>
        </w:rPr>
        <w:t>Exploring Early Childhood</w:t>
      </w:r>
    </w:p>
    <w:p w:rsidR="00846B01" w:rsidRDefault="00573DF3" w:rsidP="00573DF3">
      <w:pPr>
        <w:shd w:val="clear" w:color="auto" w:fill="002060"/>
        <w:tabs>
          <w:tab w:val="left" w:pos="284"/>
          <w:tab w:val="left" w:pos="426"/>
        </w:tabs>
      </w:pPr>
      <w:r>
        <w:tab/>
        <w:t>STAGE 6 PRELIMINARY ~ COURSE OUTLINE</w:t>
      </w:r>
    </w:p>
    <w:p w:rsidR="00846B01" w:rsidRDefault="00846B01" w:rsidP="00846B01">
      <w:pPr>
        <w:shd w:val="clear" w:color="auto" w:fill="002060"/>
      </w:pPr>
    </w:p>
    <w:p w:rsidR="00846B01" w:rsidRDefault="00846B01" w:rsidP="00A01ABB">
      <w:pPr>
        <w:spacing w:line="276" w:lineRule="auto"/>
      </w:pPr>
    </w:p>
    <w:p w:rsidR="00846B01" w:rsidRDefault="00846B01"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4B2967" w:rsidRPr="004B2967" w:rsidRDefault="004B2967" w:rsidP="004B2967">
      <w:pPr>
        <w:pStyle w:val="BodyText"/>
        <w:spacing w:line="276" w:lineRule="auto"/>
        <w:rPr>
          <w:rFonts w:ascii="Arial" w:hAnsi="Arial" w:cs="Arial"/>
          <w:b w:val="0"/>
          <w:sz w:val="20"/>
          <w:szCs w:val="20"/>
        </w:rPr>
      </w:pPr>
      <w:r w:rsidRPr="004B2967">
        <w:rPr>
          <w:rFonts w:ascii="Arial" w:hAnsi="Arial" w:cs="Arial"/>
          <w:b w:val="0"/>
          <w:sz w:val="20"/>
          <w:szCs w:val="20"/>
        </w:rPr>
        <w:t>Exploring Early Childhood, Stage 6 aims to develop understanding, skills and strategies to enable students to support and foster positive growth and development in the young children with whom they interact through a provision of safe, nurturing and challenging environments.</w:t>
      </w:r>
    </w:p>
    <w:p w:rsidR="004B2967" w:rsidRPr="004B2967" w:rsidRDefault="004B2967" w:rsidP="004B2967">
      <w:pPr>
        <w:pStyle w:val="BodyText"/>
        <w:spacing w:line="276" w:lineRule="auto"/>
        <w:rPr>
          <w:rFonts w:ascii="Arial" w:hAnsi="Arial" w:cs="Arial"/>
          <w:b w:val="0"/>
          <w:sz w:val="20"/>
          <w:szCs w:val="20"/>
        </w:rPr>
      </w:pPr>
    </w:p>
    <w:p w:rsidR="004B2967" w:rsidRPr="004B2967" w:rsidRDefault="004B2967" w:rsidP="004B2967">
      <w:pPr>
        <w:pStyle w:val="BodyText"/>
        <w:spacing w:line="276" w:lineRule="auto"/>
        <w:rPr>
          <w:rFonts w:ascii="Arial" w:hAnsi="Arial" w:cs="Arial"/>
          <w:b w:val="0"/>
          <w:i/>
          <w:sz w:val="20"/>
          <w:szCs w:val="20"/>
        </w:rPr>
      </w:pPr>
      <w:r w:rsidRPr="004B2967">
        <w:rPr>
          <w:rFonts w:ascii="Arial" w:hAnsi="Arial" w:cs="Arial"/>
          <w:b w:val="0"/>
          <w:i/>
          <w:sz w:val="20"/>
          <w:szCs w:val="20"/>
        </w:rPr>
        <w:t>The study of this course will enable students to;</w:t>
      </w:r>
    </w:p>
    <w:p w:rsidR="004B2967" w:rsidRPr="004B2967" w:rsidRDefault="004B2967" w:rsidP="004B2967">
      <w:pPr>
        <w:pStyle w:val="BodyText"/>
        <w:spacing w:line="276" w:lineRule="auto"/>
        <w:rPr>
          <w:rFonts w:ascii="Arial" w:hAnsi="Arial" w:cs="Arial"/>
          <w:b w:val="0"/>
          <w:sz w:val="20"/>
          <w:szCs w:val="20"/>
        </w:rPr>
      </w:pPr>
    </w:p>
    <w:p w:rsidR="004B2967" w:rsidRPr="004B2967" w:rsidRDefault="004B2967" w:rsidP="004B2967">
      <w:pPr>
        <w:pStyle w:val="BodyText"/>
        <w:numPr>
          <w:ilvl w:val="0"/>
          <w:numId w:val="19"/>
        </w:numPr>
        <w:spacing w:line="276" w:lineRule="auto"/>
        <w:rPr>
          <w:rFonts w:ascii="Arial" w:hAnsi="Arial" w:cs="Arial"/>
          <w:b w:val="0"/>
          <w:sz w:val="20"/>
          <w:szCs w:val="20"/>
        </w:rPr>
      </w:pPr>
      <w:r w:rsidRPr="004B2967">
        <w:rPr>
          <w:rFonts w:ascii="Arial" w:hAnsi="Arial" w:cs="Arial"/>
          <w:b w:val="0"/>
          <w:sz w:val="20"/>
          <w:szCs w:val="20"/>
        </w:rPr>
        <w:t>develop an awareness and understanding of growth, development and learning of young children and the importance of the early years;</w:t>
      </w:r>
    </w:p>
    <w:p w:rsidR="004B2967" w:rsidRPr="004B2967" w:rsidRDefault="004B2967" w:rsidP="004B2967">
      <w:pPr>
        <w:pStyle w:val="BodyText"/>
        <w:numPr>
          <w:ilvl w:val="0"/>
          <w:numId w:val="19"/>
        </w:numPr>
        <w:spacing w:line="276" w:lineRule="auto"/>
        <w:rPr>
          <w:rFonts w:ascii="Arial" w:hAnsi="Arial" w:cs="Arial"/>
          <w:b w:val="0"/>
          <w:sz w:val="20"/>
          <w:szCs w:val="20"/>
        </w:rPr>
      </w:pPr>
      <w:r w:rsidRPr="004B2967">
        <w:rPr>
          <w:rFonts w:ascii="Arial" w:hAnsi="Arial" w:cs="Arial"/>
          <w:b w:val="0"/>
          <w:sz w:val="20"/>
          <w:szCs w:val="20"/>
        </w:rPr>
        <w:t>recognise the uniqueness of all children, including those who have special needs;</w:t>
      </w:r>
    </w:p>
    <w:p w:rsidR="004B2967" w:rsidRPr="004B2967" w:rsidRDefault="004B2967" w:rsidP="004B2967">
      <w:pPr>
        <w:pStyle w:val="BodyText"/>
        <w:numPr>
          <w:ilvl w:val="0"/>
          <w:numId w:val="19"/>
        </w:numPr>
        <w:spacing w:line="276" w:lineRule="auto"/>
        <w:rPr>
          <w:rFonts w:ascii="Arial" w:hAnsi="Arial" w:cs="Arial"/>
          <w:b w:val="0"/>
          <w:sz w:val="20"/>
          <w:szCs w:val="20"/>
        </w:rPr>
      </w:pPr>
      <w:r w:rsidRPr="004B2967">
        <w:rPr>
          <w:rFonts w:ascii="Arial" w:hAnsi="Arial" w:cs="Arial"/>
          <w:b w:val="0"/>
          <w:sz w:val="20"/>
          <w:szCs w:val="20"/>
        </w:rPr>
        <w:t>become aware of the value of play in the lives of children, and consider means of providing safe and challenging environments of play;</w:t>
      </w:r>
    </w:p>
    <w:p w:rsidR="004B2967" w:rsidRPr="004B2967" w:rsidRDefault="004B2967" w:rsidP="004B2967">
      <w:pPr>
        <w:pStyle w:val="BodyText"/>
        <w:numPr>
          <w:ilvl w:val="0"/>
          <w:numId w:val="19"/>
        </w:numPr>
        <w:spacing w:line="276" w:lineRule="auto"/>
        <w:rPr>
          <w:rFonts w:ascii="Arial" w:hAnsi="Arial" w:cs="Arial"/>
          <w:b w:val="0"/>
          <w:sz w:val="20"/>
          <w:szCs w:val="20"/>
        </w:rPr>
      </w:pPr>
      <w:r w:rsidRPr="004B2967">
        <w:rPr>
          <w:rFonts w:ascii="Arial" w:hAnsi="Arial" w:cs="Arial"/>
          <w:b w:val="0"/>
          <w:sz w:val="20"/>
          <w:szCs w:val="20"/>
        </w:rPr>
        <w:t>identify the range of services developed and provided for young children and their families;</w:t>
      </w:r>
    </w:p>
    <w:p w:rsidR="004B2967" w:rsidRPr="004B2967" w:rsidRDefault="004B2967" w:rsidP="004B2967">
      <w:pPr>
        <w:pStyle w:val="BodyText"/>
        <w:numPr>
          <w:ilvl w:val="0"/>
          <w:numId w:val="19"/>
        </w:numPr>
        <w:spacing w:line="276" w:lineRule="auto"/>
        <w:rPr>
          <w:rFonts w:ascii="Arial" w:hAnsi="Arial" w:cs="Arial"/>
          <w:b w:val="0"/>
          <w:sz w:val="20"/>
          <w:szCs w:val="20"/>
        </w:rPr>
      </w:pPr>
      <w:r w:rsidRPr="004B2967">
        <w:rPr>
          <w:rFonts w:ascii="Arial" w:hAnsi="Arial" w:cs="Arial"/>
          <w:b w:val="0"/>
          <w:sz w:val="20"/>
          <w:szCs w:val="20"/>
        </w:rPr>
        <w:t>consider the role or family and community in the growth, development and learning of young children;</w:t>
      </w:r>
    </w:p>
    <w:p w:rsidR="004B2967" w:rsidRPr="004B2967" w:rsidRDefault="004B2967" w:rsidP="004B2967">
      <w:pPr>
        <w:pStyle w:val="BodyText"/>
        <w:numPr>
          <w:ilvl w:val="0"/>
          <w:numId w:val="19"/>
        </w:numPr>
        <w:spacing w:line="276" w:lineRule="auto"/>
        <w:rPr>
          <w:rFonts w:ascii="Arial" w:hAnsi="Arial" w:cs="Arial"/>
          <w:b w:val="0"/>
          <w:sz w:val="20"/>
          <w:szCs w:val="20"/>
        </w:rPr>
      </w:pPr>
      <w:r w:rsidRPr="004B2967">
        <w:rPr>
          <w:rFonts w:ascii="Arial" w:hAnsi="Arial" w:cs="Arial"/>
          <w:b w:val="0"/>
          <w:sz w:val="20"/>
          <w:szCs w:val="20"/>
        </w:rPr>
        <w:t>reflect upon the potential implications for themselves as adults, in relation to young children;</w:t>
      </w:r>
    </w:p>
    <w:p w:rsidR="004B2967" w:rsidRPr="004B2967" w:rsidRDefault="004B2967" w:rsidP="004B2967">
      <w:pPr>
        <w:pStyle w:val="BodyText"/>
        <w:numPr>
          <w:ilvl w:val="0"/>
          <w:numId w:val="19"/>
        </w:numPr>
        <w:spacing w:line="276" w:lineRule="auto"/>
        <w:rPr>
          <w:rFonts w:ascii="Arial" w:hAnsi="Arial" w:cs="Arial"/>
          <w:b w:val="0"/>
          <w:sz w:val="20"/>
          <w:szCs w:val="20"/>
        </w:rPr>
      </w:pPr>
      <w:r w:rsidRPr="004B2967">
        <w:rPr>
          <w:rFonts w:ascii="Arial" w:hAnsi="Arial" w:cs="Arial"/>
          <w:b w:val="0"/>
          <w:sz w:val="20"/>
          <w:szCs w:val="20"/>
        </w:rPr>
        <w:t>understand and appreciate the diversity of cultures within Australia and the ways in which this influences children and families;</w:t>
      </w:r>
    </w:p>
    <w:p w:rsidR="004B2967" w:rsidRPr="004B2967" w:rsidRDefault="004B2967" w:rsidP="004B2967">
      <w:pPr>
        <w:pStyle w:val="BodyText"/>
        <w:numPr>
          <w:ilvl w:val="0"/>
          <w:numId w:val="19"/>
        </w:numPr>
        <w:spacing w:line="276" w:lineRule="auto"/>
        <w:rPr>
          <w:rFonts w:ascii="Arial" w:hAnsi="Arial" w:cs="Arial"/>
          <w:b w:val="0"/>
          <w:sz w:val="20"/>
          <w:szCs w:val="20"/>
        </w:rPr>
      </w:pPr>
      <w:r w:rsidRPr="004B2967">
        <w:rPr>
          <w:rFonts w:ascii="Arial" w:hAnsi="Arial" w:cs="Arial"/>
          <w:b w:val="0"/>
          <w:sz w:val="20"/>
          <w:szCs w:val="20"/>
        </w:rPr>
        <w:t>become aware of the work opportunities available in the area of children’s services.</w:t>
      </w:r>
    </w:p>
    <w:p w:rsidR="004B2967" w:rsidRPr="004B2967" w:rsidRDefault="004B2967" w:rsidP="004B2967">
      <w:pPr>
        <w:pStyle w:val="BodyText"/>
        <w:spacing w:line="276" w:lineRule="auto"/>
        <w:rPr>
          <w:rFonts w:ascii="Arial" w:hAnsi="Arial" w:cs="Arial"/>
          <w:b w:val="0"/>
          <w:sz w:val="20"/>
          <w:szCs w:val="20"/>
        </w:rPr>
      </w:pPr>
      <w:r w:rsidRPr="004B2967">
        <w:rPr>
          <w:rFonts w:ascii="Arial" w:hAnsi="Arial" w:cs="Arial"/>
          <w:noProof/>
          <w:sz w:val="20"/>
          <w:szCs w:val="20"/>
          <w:lang w:eastAsia="en-AU"/>
        </w:rPr>
        <w:drawing>
          <wp:anchor distT="0" distB="0" distL="114300" distR="114300" simplePos="0" relativeHeight="251662336" behindDoc="1" locked="0" layoutInCell="1" allowOverlap="1" wp14:anchorId="28F9EE42" wp14:editId="17361061">
            <wp:simplePos x="0" y="0"/>
            <wp:positionH relativeFrom="column">
              <wp:posOffset>4232910</wp:posOffset>
            </wp:positionH>
            <wp:positionV relativeFrom="paragraph">
              <wp:posOffset>90805</wp:posOffset>
            </wp:positionV>
            <wp:extent cx="1823085" cy="1579880"/>
            <wp:effectExtent l="0" t="0" r="5715" b="1270"/>
            <wp:wrapThrough wrapText="bothSides">
              <wp:wrapPolygon edited="0">
                <wp:start x="11511" y="0"/>
                <wp:lineTo x="6094" y="1042"/>
                <wp:lineTo x="4740" y="1823"/>
                <wp:lineTo x="4740" y="4167"/>
                <wp:lineTo x="3837" y="5990"/>
                <wp:lineTo x="2934" y="8595"/>
                <wp:lineTo x="451" y="12502"/>
                <wp:lineTo x="0" y="13804"/>
                <wp:lineTo x="0" y="16408"/>
                <wp:lineTo x="677" y="17971"/>
                <wp:lineTo x="7448" y="20836"/>
                <wp:lineTo x="10834" y="21357"/>
                <wp:lineTo x="13317" y="21357"/>
                <wp:lineTo x="15348" y="20836"/>
                <wp:lineTo x="20991" y="17190"/>
                <wp:lineTo x="21442" y="12502"/>
                <wp:lineTo x="21442" y="781"/>
                <wp:lineTo x="13091" y="0"/>
                <wp:lineTo x="11511" y="0"/>
              </wp:wrapPolygon>
            </wp:wrapThrough>
            <wp:docPr id="276" name="Picture 276" descr="MC900024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MC90002443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085" cy="1579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967" w:rsidRPr="004B2967" w:rsidRDefault="004B2967" w:rsidP="004B2967">
      <w:pPr>
        <w:pStyle w:val="BodyText"/>
        <w:spacing w:line="276" w:lineRule="auto"/>
        <w:rPr>
          <w:rFonts w:ascii="Arial" w:hAnsi="Arial" w:cs="Arial"/>
          <w:b w:val="0"/>
          <w:sz w:val="20"/>
          <w:szCs w:val="20"/>
        </w:rPr>
      </w:pPr>
    </w:p>
    <w:p w:rsidR="004B2967" w:rsidRPr="004B2967" w:rsidRDefault="00F263CB" w:rsidP="004B2967">
      <w:pPr>
        <w:pStyle w:val="BodyText"/>
        <w:spacing w:line="276" w:lineRule="auto"/>
        <w:rPr>
          <w:rFonts w:ascii="Arial" w:hAnsi="Arial" w:cs="Arial"/>
          <w:sz w:val="20"/>
          <w:szCs w:val="20"/>
        </w:rPr>
      </w:pPr>
      <w:r w:rsidRPr="004B2967">
        <w:rPr>
          <w:rFonts w:ascii="Arial" w:hAnsi="Arial" w:cs="Arial"/>
          <w:sz w:val="20"/>
          <w:szCs w:val="20"/>
        </w:rPr>
        <w:t>MAIN AREAS COVERED</w:t>
      </w:r>
    </w:p>
    <w:p w:rsidR="004B2967" w:rsidRPr="004B2967" w:rsidRDefault="004B2967" w:rsidP="004B2967">
      <w:pPr>
        <w:pStyle w:val="BodyText"/>
        <w:spacing w:line="276" w:lineRule="auto"/>
        <w:rPr>
          <w:rFonts w:ascii="Arial" w:hAnsi="Arial" w:cs="Arial"/>
          <w:b w:val="0"/>
          <w:sz w:val="20"/>
          <w:szCs w:val="20"/>
        </w:rPr>
      </w:pPr>
    </w:p>
    <w:p w:rsidR="004B2967" w:rsidRPr="004B2967" w:rsidRDefault="004B2967" w:rsidP="004B2967">
      <w:pPr>
        <w:pStyle w:val="BodyText"/>
        <w:spacing w:line="276" w:lineRule="auto"/>
        <w:rPr>
          <w:rFonts w:ascii="Arial" w:hAnsi="Arial" w:cs="Arial"/>
          <w:b w:val="0"/>
          <w:sz w:val="20"/>
          <w:szCs w:val="20"/>
        </w:rPr>
      </w:pPr>
      <w:r w:rsidRPr="004B2967">
        <w:rPr>
          <w:rFonts w:ascii="Arial" w:hAnsi="Arial" w:cs="Arial"/>
          <w:b w:val="0"/>
          <w:sz w:val="20"/>
          <w:szCs w:val="20"/>
        </w:rPr>
        <w:t>Core Studies are compulsory.  There are three parts;</w:t>
      </w:r>
    </w:p>
    <w:p w:rsidR="004B2967" w:rsidRPr="004B2967" w:rsidRDefault="004B2967" w:rsidP="004B2967">
      <w:pPr>
        <w:pStyle w:val="BodyText"/>
        <w:spacing w:line="276" w:lineRule="auto"/>
        <w:rPr>
          <w:rFonts w:ascii="Arial" w:hAnsi="Arial" w:cs="Arial"/>
          <w:b w:val="0"/>
          <w:sz w:val="20"/>
          <w:szCs w:val="20"/>
        </w:rPr>
      </w:pPr>
    </w:p>
    <w:p w:rsidR="004B2967" w:rsidRPr="004B2967" w:rsidRDefault="004B2967" w:rsidP="004B2967">
      <w:pPr>
        <w:pStyle w:val="BodyText"/>
        <w:spacing w:line="276" w:lineRule="auto"/>
        <w:rPr>
          <w:rFonts w:ascii="Arial" w:hAnsi="Arial" w:cs="Arial"/>
          <w:b w:val="0"/>
          <w:sz w:val="20"/>
          <w:szCs w:val="20"/>
        </w:rPr>
      </w:pPr>
      <w:r w:rsidRPr="004B2967">
        <w:rPr>
          <w:rFonts w:ascii="Arial" w:hAnsi="Arial" w:cs="Arial"/>
          <w:b w:val="0"/>
          <w:sz w:val="20"/>
          <w:szCs w:val="20"/>
        </w:rPr>
        <w:tab/>
        <w:t>PART A</w:t>
      </w:r>
      <w:r w:rsidRPr="004B2967">
        <w:rPr>
          <w:rFonts w:ascii="Arial" w:hAnsi="Arial" w:cs="Arial"/>
          <w:b w:val="0"/>
          <w:sz w:val="20"/>
          <w:szCs w:val="20"/>
        </w:rPr>
        <w:tab/>
        <w:t>-</w:t>
      </w:r>
      <w:r w:rsidRPr="004B2967">
        <w:rPr>
          <w:rFonts w:ascii="Arial" w:hAnsi="Arial" w:cs="Arial"/>
          <w:b w:val="0"/>
          <w:sz w:val="20"/>
          <w:szCs w:val="20"/>
        </w:rPr>
        <w:tab/>
        <w:t>Pregnancy and Childbirth  (15 hours)</w:t>
      </w:r>
    </w:p>
    <w:p w:rsidR="004B2967" w:rsidRPr="004B2967" w:rsidRDefault="004B2967" w:rsidP="004B2967">
      <w:pPr>
        <w:pStyle w:val="BodyText"/>
        <w:spacing w:line="276" w:lineRule="auto"/>
        <w:rPr>
          <w:rFonts w:ascii="Arial" w:hAnsi="Arial" w:cs="Arial"/>
          <w:b w:val="0"/>
          <w:sz w:val="20"/>
          <w:szCs w:val="20"/>
        </w:rPr>
      </w:pPr>
      <w:r w:rsidRPr="004B2967">
        <w:rPr>
          <w:rFonts w:ascii="Arial" w:hAnsi="Arial" w:cs="Arial"/>
          <w:b w:val="0"/>
          <w:sz w:val="20"/>
          <w:szCs w:val="20"/>
        </w:rPr>
        <w:tab/>
        <w:t>PART B</w:t>
      </w:r>
      <w:r w:rsidRPr="004B2967">
        <w:rPr>
          <w:rFonts w:ascii="Arial" w:hAnsi="Arial" w:cs="Arial"/>
          <w:b w:val="0"/>
          <w:sz w:val="20"/>
          <w:szCs w:val="20"/>
        </w:rPr>
        <w:tab/>
        <w:t>-</w:t>
      </w:r>
      <w:r w:rsidRPr="004B2967">
        <w:rPr>
          <w:rFonts w:ascii="Arial" w:hAnsi="Arial" w:cs="Arial"/>
          <w:b w:val="0"/>
          <w:sz w:val="20"/>
          <w:szCs w:val="20"/>
        </w:rPr>
        <w:tab/>
        <w:t>Child Growth and Development  (20 hours)</w:t>
      </w:r>
    </w:p>
    <w:p w:rsidR="004B2967" w:rsidRPr="004B2967" w:rsidRDefault="004B2967" w:rsidP="004B2967">
      <w:pPr>
        <w:pStyle w:val="BodyText"/>
        <w:spacing w:line="276" w:lineRule="auto"/>
        <w:rPr>
          <w:rFonts w:ascii="Arial" w:hAnsi="Arial" w:cs="Arial"/>
          <w:b w:val="0"/>
          <w:sz w:val="20"/>
          <w:szCs w:val="20"/>
        </w:rPr>
      </w:pPr>
      <w:r w:rsidRPr="004B2967">
        <w:rPr>
          <w:rFonts w:ascii="Arial" w:hAnsi="Arial" w:cs="Arial"/>
          <w:b w:val="0"/>
          <w:sz w:val="20"/>
          <w:szCs w:val="20"/>
        </w:rPr>
        <w:tab/>
        <w:t>PART C</w:t>
      </w:r>
      <w:r w:rsidRPr="004B2967">
        <w:rPr>
          <w:rFonts w:ascii="Arial" w:hAnsi="Arial" w:cs="Arial"/>
          <w:b w:val="0"/>
          <w:sz w:val="20"/>
          <w:szCs w:val="20"/>
        </w:rPr>
        <w:tab/>
        <w:t>-</w:t>
      </w:r>
      <w:r w:rsidRPr="004B2967">
        <w:rPr>
          <w:rFonts w:ascii="Arial" w:hAnsi="Arial" w:cs="Arial"/>
          <w:b w:val="0"/>
          <w:sz w:val="20"/>
          <w:szCs w:val="20"/>
        </w:rPr>
        <w:tab/>
        <w:t>Promoting Positive Behaviour (10 Hours)</w:t>
      </w:r>
    </w:p>
    <w:p w:rsidR="004B2967" w:rsidRPr="004B2967" w:rsidRDefault="004B2967" w:rsidP="004B2967">
      <w:pPr>
        <w:pStyle w:val="BodyText"/>
        <w:spacing w:line="276" w:lineRule="auto"/>
        <w:rPr>
          <w:rFonts w:ascii="Arial" w:hAnsi="Arial" w:cs="Arial"/>
          <w:b w:val="0"/>
          <w:sz w:val="20"/>
          <w:szCs w:val="20"/>
        </w:rPr>
      </w:pPr>
    </w:p>
    <w:p w:rsidR="004B2967" w:rsidRPr="004B2967" w:rsidRDefault="004B2967" w:rsidP="004B2967">
      <w:pPr>
        <w:pStyle w:val="BodyText"/>
        <w:spacing w:line="276" w:lineRule="auto"/>
        <w:rPr>
          <w:rFonts w:ascii="Arial" w:hAnsi="Arial" w:cs="Arial"/>
          <w:b w:val="0"/>
          <w:sz w:val="20"/>
          <w:szCs w:val="20"/>
        </w:rPr>
      </w:pPr>
    </w:p>
    <w:p w:rsidR="004B2967" w:rsidRPr="004B2967" w:rsidRDefault="00F263CB" w:rsidP="004B2967">
      <w:pPr>
        <w:pStyle w:val="BodyText"/>
        <w:spacing w:line="276" w:lineRule="auto"/>
        <w:rPr>
          <w:rFonts w:ascii="Arial" w:hAnsi="Arial" w:cs="Arial"/>
          <w:sz w:val="20"/>
          <w:szCs w:val="20"/>
        </w:rPr>
      </w:pPr>
      <w:r w:rsidRPr="004B2967">
        <w:rPr>
          <w:rFonts w:ascii="Arial" w:hAnsi="Arial" w:cs="Arial"/>
          <w:sz w:val="20"/>
          <w:szCs w:val="20"/>
        </w:rPr>
        <w:t>OPTIONAL MODULES</w:t>
      </w:r>
    </w:p>
    <w:p w:rsidR="004B2967" w:rsidRPr="004B2967" w:rsidRDefault="004B2967" w:rsidP="004B2967">
      <w:pPr>
        <w:pStyle w:val="BodyText"/>
        <w:spacing w:line="276" w:lineRule="auto"/>
        <w:rPr>
          <w:rFonts w:ascii="Arial" w:hAnsi="Arial" w:cs="Arial"/>
          <w:b w:val="0"/>
          <w:sz w:val="20"/>
          <w:szCs w:val="20"/>
        </w:rPr>
      </w:pPr>
    </w:p>
    <w:tbl>
      <w:tblPr>
        <w:tblW w:w="0" w:type="auto"/>
        <w:tblLook w:val="04A0" w:firstRow="1" w:lastRow="0" w:firstColumn="1" w:lastColumn="0" w:noHBand="0" w:noVBand="1"/>
      </w:tblPr>
      <w:tblGrid>
        <w:gridCol w:w="4927"/>
        <w:gridCol w:w="4927"/>
      </w:tblGrid>
      <w:tr w:rsidR="004B2967" w:rsidRPr="004B2967" w:rsidTr="00416F0E">
        <w:tc>
          <w:tcPr>
            <w:tcW w:w="4927" w:type="dxa"/>
            <w:shd w:val="clear" w:color="auto" w:fill="auto"/>
          </w:tcPr>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Learning experiences of young children</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Play and the developing Child</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Starting school</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Gender and young children</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Children and change</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Children of Aboriginal and Torres Strait Islander communities</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Historical and cultural contexts of childhood</w:t>
            </w:r>
          </w:p>
        </w:tc>
        <w:tc>
          <w:tcPr>
            <w:tcW w:w="4927" w:type="dxa"/>
            <w:shd w:val="clear" w:color="auto" w:fill="auto"/>
          </w:tcPr>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The children’s services industry</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Young children and media</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Young children and the law</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Children’s literature</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Food and nutrition</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Child health and safety</w:t>
            </w:r>
          </w:p>
          <w:p w:rsidR="004B2967" w:rsidRPr="004B2967" w:rsidRDefault="004B2967" w:rsidP="004B2967">
            <w:pPr>
              <w:pStyle w:val="BodyText"/>
              <w:numPr>
                <w:ilvl w:val="0"/>
                <w:numId w:val="20"/>
              </w:numPr>
              <w:spacing w:line="276" w:lineRule="auto"/>
              <w:rPr>
                <w:rFonts w:ascii="Arial" w:eastAsia="Times" w:hAnsi="Arial" w:cs="Arial"/>
                <w:b w:val="0"/>
                <w:sz w:val="20"/>
                <w:szCs w:val="20"/>
              </w:rPr>
            </w:pPr>
            <w:r w:rsidRPr="004B2967">
              <w:rPr>
                <w:rFonts w:ascii="Arial" w:eastAsia="Times" w:hAnsi="Arial" w:cs="Arial"/>
                <w:b w:val="0"/>
                <w:sz w:val="20"/>
                <w:szCs w:val="20"/>
              </w:rPr>
              <w:t>Young children with special needs</w:t>
            </w:r>
          </w:p>
        </w:tc>
      </w:tr>
    </w:tbl>
    <w:p w:rsidR="004B2967" w:rsidRPr="004B2967" w:rsidRDefault="004B2967" w:rsidP="004B2967">
      <w:pPr>
        <w:pStyle w:val="BodyText"/>
        <w:spacing w:line="276" w:lineRule="auto"/>
        <w:rPr>
          <w:rFonts w:ascii="Arial" w:hAnsi="Arial" w:cs="Arial"/>
          <w:b w:val="0"/>
          <w:sz w:val="20"/>
          <w:szCs w:val="20"/>
        </w:rPr>
      </w:pPr>
    </w:p>
    <w:p w:rsidR="004B2967" w:rsidRPr="004B2967" w:rsidRDefault="004B2967" w:rsidP="004B2967">
      <w:pPr>
        <w:pStyle w:val="BodyText"/>
        <w:spacing w:line="276" w:lineRule="auto"/>
        <w:rPr>
          <w:rFonts w:ascii="Arial" w:hAnsi="Arial" w:cs="Arial"/>
          <w:b w:val="0"/>
          <w:sz w:val="20"/>
          <w:szCs w:val="20"/>
        </w:rPr>
      </w:pPr>
    </w:p>
    <w:p w:rsidR="004B2967" w:rsidRDefault="004B2967">
      <w:pPr>
        <w:rPr>
          <w:rFonts w:eastAsia="Times New Roman"/>
          <w:b/>
          <w:bCs/>
        </w:rPr>
      </w:pPr>
      <w:r>
        <w:br w:type="page"/>
      </w:r>
    </w:p>
    <w:p w:rsidR="004B2967" w:rsidRDefault="004B2967"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444405" w:rsidRPr="001F2396" w:rsidRDefault="00444405" w:rsidP="00444405">
      <w:pPr>
        <w:rPr>
          <w:b/>
        </w:rPr>
      </w:pPr>
      <w:r w:rsidRPr="001F2396">
        <w:rPr>
          <w:b/>
        </w:rPr>
        <w:t>SYLLABUS OUTCOMES</w:t>
      </w:r>
    </w:p>
    <w:p w:rsidR="00444405" w:rsidRDefault="00444405" w:rsidP="00444405"/>
    <w:p w:rsidR="00444405" w:rsidRPr="00444405" w:rsidRDefault="00444405" w:rsidP="00444405">
      <w:pPr>
        <w:spacing w:after="60"/>
        <w:rPr>
          <w:i/>
          <w:szCs w:val="16"/>
        </w:rPr>
      </w:pPr>
      <w:r w:rsidRPr="00444405">
        <w:rPr>
          <w:i/>
          <w:szCs w:val="16"/>
        </w:rPr>
        <w:t>A student …</w:t>
      </w:r>
    </w:p>
    <w:p w:rsidR="00444405" w:rsidRPr="00444405" w:rsidRDefault="00444405" w:rsidP="00444405">
      <w:pPr>
        <w:pStyle w:val="NoSpacing"/>
        <w:spacing w:before="60"/>
        <w:rPr>
          <w:szCs w:val="20"/>
        </w:rPr>
      </w:pPr>
      <w:r w:rsidRPr="00444405">
        <w:rPr>
          <w:b/>
          <w:szCs w:val="20"/>
        </w:rPr>
        <w:t>1.1</w:t>
      </w:r>
      <w:r w:rsidRPr="00444405">
        <w:rPr>
          <w:szCs w:val="20"/>
        </w:rPr>
        <w:tab/>
        <w:t>analyses prenatal issues that have an impact on development</w:t>
      </w:r>
    </w:p>
    <w:p w:rsidR="00444405" w:rsidRPr="00444405" w:rsidRDefault="00444405" w:rsidP="00444405">
      <w:pPr>
        <w:pStyle w:val="NoSpacing"/>
        <w:spacing w:before="60"/>
        <w:ind w:left="720" w:hanging="720"/>
        <w:rPr>
          <w:szCs w:val="20"/>
        </w:rPr>
      </w:pPr>
      <w:r w:rsidRPr="00444405">
        <w:rPr>
          <w:b/>
          <w:szCs w:val="20"/>
        </w:rPr>
        <w:t>1.2</w:t>
      </w:r>
      <w:r w:rsidRPr="00444405">
        <w:rPr>
          <w:szCs w:val="20"/>
        </w:rPr>
        <w:tab/>
        <w:t>examines major physical, social-emotional, behavioural, cognitive and language development of young children</w:t>
      </w:r>
    </w:p>
    <w:p w:rsidR="00444405" w:rsidRPr="00444405" w:rsidRDefault="00444405" w:rsidP="00444405">
      <w:pPr>
        <w:pStyle w:val="NoSpacing"/>
        <w:spacing w:before="60"/>
        <w:ind w:left="720" w:hanging="720"/>
        <w:rPr>
          <w:szCs w:val="20"/>
        </w:rPr>
      </w:pPr>
      <w:r w:rsidRPr="00444405">
        <w:rPr>
          <w:b/>
          <w:szCs w:val="20"/>
        </w:rPr>
        <w:t>1.3</w:t>
      </w:r>
      <w:r w:rsidRPr="00444405">
        <w:rPr>
          <w:szCs w:val="20"/>
        </w:rPr>
        <w:tab/>
        <w:t>examines the nature of different periods in childhood — infant, toddler, preschool and the early school years</w:t>
      </w:r>
    </w:p>
    <w:p w:rsidR="00444405" w:rsidRPr="00444405" w:rsidRDefault="00444405" w:rsidP="00444405">
      <w:pPr>
        <w:pStyle w:val="NoSpacing"/>
        <w:spacing w:before="60"/>
        <w:ind w:left="720" w:hanging="720"/>
        <w:rPr>
          <w:szCs w:val="20"/>
        </w:rPr>
      </w:pPr>
      <w:r w:rsidRPr="00444405">
        <w:rPr>
          <w:b/>
          <w:szCs w:val="20"/>
        </w:rPr>
        <w:t>1.4</w:t>
      </w:r>
      <w:r w:rsidRPr="00444405">
        <w:rPr>
          <w:szCs w:val="20"/>
        </w:rPr>
        <w:tab/>
        <w:t>analyses the ways in which family, community and culture influence growth and development of young children</w:t>
      </w:r>
    </w:p>
    <w:p w:rsidR="00444405" w:rsidRPr="00444405" w:rsidRDefault="00444405" w:rsidP="00444405">
      <w:pPr>
        <w:pStyle w:val="NoSpacing"/>
        <w:spacing w:before="60"/>
        <w:rPr>
          <w:szCs w:val="20"/>
        </w:rPr>
      </w:pPr>
      <w:r w:rsidRPr="00444405">
        <w:rPr>
          <w:b/>
          <w:szCs w:val="20"/>
        </w:rPr>
        <w:t>1.5</w:t>
      </w:r>
      <w:r w:rsidRPr="00444405">
        <w:rPr>
          <w:szCs w:val="20"/>
        </w:rPr>
        <w:tab/>
        <w:t>examines the implications for growth and development when a child has special needs</w:t>
      </w:r>
    </w:p>
    <w:p w:rsidR="00444405" w:rsidRPr="00444405" w:rsidRDefault="00444405" w:rsidP="00444405">
      <w:pPr>
        <w:pStyle w:val="NoSpacing"/>
        <w:spacing w:before="60"/>
        <w:rPr>
          <w:szCs w:val="20"/>
        </w:rPr>
      </w:pPr>
      <w:r w:rsidRPr="00444405">
        <w:rPr>
          <w:b/>
          <w:szCs w:val="20"/>
        </w:rPr>
        <w:t>2.1</w:t>
      </w:r>
      <w:r w:rsidRPr="00444405">
        <w:rPr>
          <w:szCs w:val="20"/>
        </w:rPr>
        <w:tab/>
        <w:t>analyses issues relating to the appropriateness of a range of services for different families</w:t>
      </w:r>
    </w:p>
    <w:p w:rsidR="00444405" w:rsidRPr="00444405" w:rsidRDefault="00444405" w:rsidP="00444405">
      <w:pPr>
        <w:pStyle w:val="NoSpacing"/>
        <w:spacing w:before="60"/>
        <w:rPr>
          <w:szCs w:val="20"/>
        </w:rPr>
      </w:pPr>
      <w:r w:rsidRPr="00444405">
        <w:rPr>
          <w:b/>
          <w:szCs w:val="20"/>
        </w:rPr>
        <w:t>2.2</w:t>
      </w:r>
      <w:r w:rsidRPr="00444405">
        <w:rPr>
          <w:szCs w:val="20"/>
        </w:rPr>
        <w:tab/>
        <w:t>critically examines factors that influence the social world of young children</w:t>
      </w:r>
    </w:p>
    <w:p w:rsidR="00444405" w:rsidRPr="00444405" w:rsidRDefault="00444405" w:rsidP="00444405">
      <w:pPr>
        <w:pStyle w:val="NoSpacing"/>
        <w:spacing w:before="60"/>
        <w:rPr>
          <w:szCs w:val="20"/>
        </w:rPr>
      </w:pPr>
      <w:r w:rsidRPr="00444405">
        <w:rPr>
          <w:b/>
          <w:szCs w:val="20"/>
        </w:rPr>
        <w:t>2.3</w:t>
      </w:r>
      <w:r w:rsidRPr="00444405">
        <w:rPr>
          <w:szCs w:val="20"/>
        </w:rPr>
        <w:tab/>
        <w:t>explains the importance of diversity as a positive</w:t>
      </w:r>
      <w:r w:rsidRPr="00444405">
        <w:rPr>
          <w:b/>
          <w:szCs w:val="20"/>
        </w:rPr>
        <w:t xml:space="preserve"> </w:t>
      </w:r>
      <w:r w:rsidRPr="00444405">
        <w:rPr>
          <w:szCs w:val="20"/>
        </w:rPr>
        <w:t>issue for children and their families</w:t>
      </w:r>
    </w:p>
    <w:p w:rsidR="00444405" w:rsidRPr="00444405" w:rsidRDefault="00444405" w:rsidP="00444405">
      <w:pPr>
        <w:pStyle w:val="NoSpacing"/>
        <w:spacing w:before="60"/>
        <w:ind w:left="720" w:hanging="720"/>
        <w:rPr>
          <w:szCs w:val="20"/>
        </w:rPr>
      </w:pPr>
      <w:r w:rsidRPr="00444405">
        <w:rPr>
          <w:b/>
          <w:szCs w:val="20"/>
        </w:rPr>
        <w:t>2.4</w:t>
      </w:r>
      <w:r w:rsidRPr="00444405">
        <w:rPr>
          <w:szCs w:val="20"/>
        </w:rPr>
        <w:tab/>
        <w:t>analyses the role of a range of environmental factors that have an impact on the lives of young children</w:t>
      </w:r>
    </w:p>
    <w:p w:rsidR="00444405" w:rsidRPr="00444405" w:rsidRDefault="00444405" w:rsidP="00444405">
      <w:pPr>
        <w:pStyle w:val="NoSpacing"/>
        <w:spacing w:before="60"/>
        <w:rPr>
          <w:szCs w:val="20"/>
        </w:rPr>
      </w:pPr>
      <w:r w:rsidRPr="00444405">
        <w:rPr>
          <w:b/>
          <w:szCs w:val="20"/>
        </w:rPr>
        <w:t>2.5</w:t>
      </w:r>
      <w:r w:rsidRPr="00444405">
        <w:rPr>
          <w:szCs w:val="20"/>
        </w:rPr>
        <w:tab/>
        <w:t>examines strategies that promote safe environments</w:t>
      </w:r>
    </w:p>
    <w:p w:rsidR="00444405" w:rsidRPr="00444405" w:rsidRDefault="00444405" w:rsidP="00444405">
      <w:pPr>
        <w:pStyle w:val="NoSpacing"/>
        <w:spacing w:before="60"/>
        <w:rPr>
          <w:szCs w:val="20"/>
        </w:rPr>
      </w:pPr>
      <w:r w:rsidRPr="00444405">
        <w:rPr>
          <w:b/>
          <w:szCs w:val="20"/>
        </w:rPr>
        <w:t>3.1</w:t>
      </w:r>
      <w:r w:rsidRPr="00444405">
        <w:rPr>
          <w:szCs w:val="20"/>
        </w:rPr>
        <w:tab/>
        <w:t>evaluates strategies that encourage positive behaviour in young children</w:t>
      </w:r>
    </w:p>
    <w:p w:rsidR="00444405" w:rsidRPr="00444405" w:rsidRDefault="00444405" w:rsidP="00444405">
      <w:pPr>
        <w:pStyle w:val="NoSpacing"/>
        <w:spacing w:before="60"/>
        <w:rPr>
          <w:szCs w:val="20"/>
        </w:rPr>
      </w:pPr>
      <w:r w:rsidRPr="00444405">
        <w:rPr>
          <w:b/>
          <w:szCs w:val="20"/>
        </w:rPr>
        <w:t>4.1</w:t>
      </w:r>
      <w:r w:rsidRPr="00444405">
        <w:rPr>
          <w:szCs w:val="20"/>
        </w:rPr>
        <w:tab/>
        <w:t>demonstrates appropriate communication skills with children and/or adults</w:t>
      </w:r>
    </w:p>
    <w:p w:rsidR="00444405" w:rsidRPr="00444405" w:rsidRDefault="00444405" w:rsidP="00444405">
      <w:pPr>
        <w:pStyle w:val="NoSpacing"/>
        <w:spacing w:before="60"/>
        <w:rPr>
          <w:szCs w:val="20"/>
        </w:rPr>
      </w:pPr>
      <w:r w:rsidRPr="00444405">
        <w:rPr>
          <w:b/>
          <w:szCs w:val="20"/>
        </w:rPr>
        <w:t>4.2</w:t>
      </w:r>
      <w:r w:rsidRPr="00444405">
        <w:rPr>
          <w:szCs w:val="20"/>
        </w:rPr>
        <w:tab/>
        <w:t>interacts appropriately with children and adults from a wide range of cultural backgrounds</w:t>
      </w:r>
    </w:p>
    <w:p w:rsidR="00444405" w:rsidRPr="00444405" w:rsidRDefault="00444405" w:rsidP="00444405">
      <w:pPr>
        <w:pStyle w:val="NoSpacing"/>
        <w:spacing w:before="60"/>
        <w:rPr>
          <w:szCs w:val="20"/>
        </w:rPr>
      </w:pPr>
      <w:r w:rsidRPr="00444405">
        <w:rPr>
          <w:b/>
          <w:szCs w:val="20"/>
        </w:rPr>
        <w:t>4.3</w:t>
      </w:r>
      <w:r w:rsidRPr="00444405">
        <w:rPr>
          <w:szCs w:val="20"/>
        </w:rPr>
        <w:tab/>
        <w:t>demonstrates appropriate strategies to resolve group conflict</w:t>
      </w:r>
    </w:p>
    <w:p w:rsidR="00444405" w:rsidRPr="00444405" w:rsidRDefault="00444405" w:rsidP="00444405">
      <w:pPr>
        <w:pStyle w:val="NoSpacing"/>
        <w:spacing w:before="60"/>
        <w:ind w:left="720" w:hanging="720"/>
        <w:rPr>
          <w:szCs w:val="20"/>
        </w:rPr>
      </w:pPr>
      <w:r w:rsidRPr="00444405">
        <w:rPr>
          <w:b/>
          <w:szCs w:val="20"/>
        </w:rPr>
        <w:t>5.1</w:t>
      </w:r>
      <w:r w:rsidRPr="00444405">
        <w:rPr>
          <w:szCs w:val="20"/>
        </w:rPr>
        <w:tab/>
        <w:t>analyses and compares information from a variety of sources to develop an understanding of child growth and development</w:t>
      </w:r>
    </w:p>
    <w:p w:rsidR="00444405" w:rsidRPr="00444405" w:rsidRDefault="00444405" w:rsidP="00444405">
      <w:pPr>
        <w:pStyle w:val="NoSpacing"/>
        <w:spacing w:before="60"/>
        <w:rPr>
          <w:szCs w:val="20"/>
        </w:rPr>
      </w:pPr>
      <w:r w:rsidRPr="00444405">
        <w:rPr>
          <w:b/>
          <w:szCs w:val="20"/>
        </w:rPr>
        <w:t>6.1</w:t>
      </w:r>
      <w:r w:rsidRPr="00444405">
        <w:rPr>
          <w:szCs w:val="20"/>
        </w:rPr>
        <w:tab/>
        <w:t>demonstrates an understanding of decision making processes</w:t>
      </w:r>
    </w:p>
    <w:p w:rsidR="00444405" w:rsidRPr="00444405" w:rsidRDefault="00444405" w:rsidP="00444405">
      <w:pPr>
        <w:pStyle w:val="NoSpacing"/>
        <w:spacing w:before="60"/>
        <w:rPr>
          <w:szCs w:val="20"/>
        </w:rPr>
      </w:pPr>
      <w:r w:rsidRPr="00444405">
        <w:rPr>
          <w:b/>
          <w:szCs w:val="20"/>
        </w:rPr>
        <w:t>6.2</w:t>
      </w:r>
      <w:r w:rsidRPr="00444405">
        <w:rPr>
          <w:szCs w:val="20"/>
        </w:rPr>
        <w:tab/>
        <w:t>critically examines all issues including beliefs and values that may influence interactions with others</w:t>
      </w:r>
    </w:p>
    <w:p w:rsidR="00444405" w:rsidRPr="00444405" w:rsidRDefault="00444405" w:rsidP="00444405">
      <w:pPr>
        <w:spacing w:before="60"/>
      </w:pPr>
    </w:p>
    <w:p w:rsidR="00444405" w:rsidRPr="00444405" w:rsidRDefault="00444405" w:rsidP="00444405">
      <w:pPr>
        <w:spacing w:before="60"/>
      </w:pPr>
    </w:p>
    <w:p w:rsidR="00444405" w:rsidRPr="001F2396" w:rsidRDefault="00444405" w:rsidP="00444405">
      <w:pPr>
        <w:rPr>
          <w:b/>
        </w:rPr>
      </w:pPr>
      <w:r>
        <w:rPr>
          <w:b/>
        </w:rPr>
        <w:t>BOSTES</w:t>
      </w:r>
      <w:r w:rsidRPr="001F2396">
        <w:rPr>
          <w:b/>
        </w:rPr>
        <w:t xml:space="preserve"> </w:t>
      </w:r>
      <w:r>
        <w:rPr>
          <w:b/>
        </w:rPr>
        <w:t xml:space="preserve">PRELIMINARY </w:t>
      </w:r>
      <w:r w:rsidRPr="001F2396">
        <w:rPr>
          <w:b/>
        </w:rPr>
        <w:t>ASSESSMENT INFORMATION</w:t>
      </w:r>
    </w:p>
    <w:p w:rsidR="00444405" w:rsidRPr="004B2967" w:rsidRDefault="00444405" w:rsidP="00444405">
      <w:pPr>
        <w:pStyle w:val="BodyText"/>
        <w:spacing w:line="276" w:lineRule="auto"/>
        <w:rPr>
          <w:rFonts w:ascii="Arial" w:hAnsi="Arial" w:cs="Arial"/>
          <w:b w:val="0"/>
          <w:sz w:val="20"/>
          <w:szCs w:val="20"/>
        </w:rPr>
      </w:pPr>
      <w:r w:rsidRPr="004B2967">
        <w:rPr>
          <w:rFonts w:ascii="Arial" w:hAnsi="Arial" w:cs="Arial"/>
          <w:b w:val="0"/>
          <w:sz w:val="20"/>
          <w:szCs w:val="20"/>
        </w:rPr>
        <w:t>There are no external examinations of students in Content Endorsed courses.  The assessment components, weightings and task requirements will include;</w:t>
      </w:r>
    </w:p>
    <w:p w:rsidR="00444405" w:rsidRPr="00290579" w:rsidRDefault="00444405" w:rsidP="00444405">
      <w:pPr>
        <w:rPr>
          <w:sz w:val="18"/>
          <w:szCs w:val="18"/>
        </w:rPr>
      </w:pPr>
    </w:p>
    <w:tbl>
      <w:tblPr>
        <w:tblStyle w:val="TableGrid"/>
        <w:tblW w:w="9889" w:type="dxa"/>
        <w:tblLook w:val="04A0" w:firstRow="1" w:lastRow="0" w:firstColumn="1" w:lastColumn="0" w:noHBand="0" w:noVBand="1"/>
      </w:tblPr>
      <w:tblGrid>
        <w:gridCol w:w="7621"/>
        <w:gridCol w:w="2268"/>
      </w:tblGrid>
      <w:tr w:rsidR="00444405" w:rsidRPr="00290579" w:rsidTr="00CC48D1">
        <w:tc>
          <w:tcPr>
            <w:tcW w:w="7621" w:type="dxa"/>
            <w:tcBorders>
              <w:left w:val="single" w:sz="4" w:space="0" w:color="auto"/>
              <w:bottom w:val="double" w:sz="4" w:space="0" w:color="C00000"/>
            </w:tcBorders>
            <w:shd w:val="clear" w:color="auto" w:fill="CCC0D9" w:themeFill="accent4" w:themeFillTint="66"/>
            <w:vAlign w:val="center"/>
          </w:tcPr>
          <w:p w:rsidR="00444405" w:rsidRPr="00290579" w:rsidRDefault="00444405" w:rsidP="00CC48D1">
            <w:pPr>
              <w:autoSpaceDE w:val="0"/>
              <w:autoSpaceDN w:val="0"/>
              <w:adjustRightInd w:val="0"/>
              <w:jc w:val="center"/>
              <w:rPr>
                <w:color w:val="000000"/>
                <w:sz w:val="16"/>
                <w:szCs w:val="16"/>
              </w:rPr>
            </w:pPr>
            <w:r w:rsidRPr="00290579">
              <w:rPr>
                <w:b/>
                <w:bCs/>
                <w:color w:val="000000"/>
                <w:sz w:val="16"/>
                <w:szCs w:val="16"/>
              </w:rPr>
              <w:t>Internal assessment</w:t>
            </w:r>
          </w:p>
        </w:tc>
        <w:tc>
          <w:tcPr>
            <w:tcW w:w="2268" w:type="dxa"/>
            <w:tcBorders>
              <w:bottom w:val="double" w:sz="4" w:space="0" w:color="C00000"/>
            </w:tcBorders>
            <w:shd w:val="clear" w:color="auto" w:fill="CCC0D9" w:themeFill="accent4" w:themeFillTint="66"/>
            <w:vAlign w:val="center"/>
          </w:tcPr>
          <w:p w:rsidR="00444405" w:rsidRPr="00290579" w:rsidRDefault="00444405" w:rsidP="00CC48D1">
            <w:pPr>
              <w:autoSpaceDE w:val="0"/>
              <w:autoSpaceDN w:val="0"/>
              <w:adjustRightInd w:val="0"/>
              <w:jc w:val="center"/>
              <w:rPr>
                <w:color w:val="000000"/>
                <w:sz w:val="16"/>
                <w:szCs w:val="16"/>
              </w:rPr>
            </w:pPr>
            <w:r w:rsidRPr="00290579">
              <w:rPr>
                <w:b/>
                <w:bCs/>
                <w:color w:val="000000"/>
                <w:sz w:val="16"/>
                <w:szCs w:val="16"/>
              </w:rPr>
              <w:t>Weighting</w:t>
            </w:r>
          </w:p>
        </w:tc>
      </w:tr>
      <w:tr w:rsidR="00444405" w:rsidRPr="00290579" w:rsidTr="00CC48D1">
        <w:tc>
          <w:tcPr>
            <w:tcW w:w="7621" w:type="dxa"/>
            <w:tcBorders>
              <w:top w:val="double" w:sz="4" w:space="0" w:color="C00000"/>
              <w:left w:val="single" w:sz="4" w:space="0" w:color="auto"/>
            </w:tcBorders>
            <w:vAlign w:val="center"/>
          </w:tcPr>
          <w:p w:rsidR="00444405" w:rsidRDefault="00444405" w:rsidP="00CC48D1">
            <w:pPr>
              <w:autoSpaceDE w:val="0"/>
              <w:autoSpaceDN w:val="0"/>
              <w:adjustRightInd w:val="0"/>
              <w:rPr>
                <w:color w:val="000000"/>
                <w:sz w:val="16"/>
                <w:szCs w:val="16"/>
              </w:rPr>
            </w:pPr>
          </w:p>
          <w:p w:rsidR="00444405" w:rsidRDefault="00444405" w:rsidP="00CC48D1">
            <w:pPr>
              <w:autoSpaceDE w:val="0"/>
              <w:autoSpaceDN w:val="0"/>
              <w:adjustRightInd w:val="0"/>
              <w:rPr>
                <w:color w:val="000000"/>
                <w:sz w:val="16"/>
                <w:szCs w:val="16"/>
              </w:rPr>
            </w:pPr>
            <w:r>
              <w:rPr>
                <w:color w:val="000000"/>
                <w:sz w:val="16"/>
                <w:szCs w:val="16"/>
              </w:rPr>
              <w:t>Knowledge and Understanding</w:t>
            </w:r>
          </w:p>
          <w:p w:rsidR="00444405" w:rsidRPr="00290579" w:rsidRDefault="00444405" w:rsidP="00CC48D1">
            <w:pPr>
              <w:autoSpaceDE w:val="0"/>
              <w:autoSpaceDN w:val="0"/>
              <w:adjustRightInd w:val="0"/>
              <w:rPr>
                <w:color w:val="000000"/>
                <w:sz w:val="16"/>
                <w:szCs w:val="16"/>
              </w:rPr>
            </w:pPr>
          </w:p>
        </w:tc>
        <w:tc>
          <w:tcPr>
            <w:tcW w:w="2268" w:type="dxa"/>
            <w:tcBorders>
              <w:top w:val="double" w:sz="4" w:space="0" w:color="C00000"/>
            </w:tcBorders>
            <w:vAlign w:val="center"/>
          </w:tcPr>
          <w:p w:rsidR="00444405" w:rsidRPr="00290579" w:rsidRDefault="00444405" w:rsidP="00CC48D1">
            <w:pPr>
              <w:autoSpaceDE w:val="0"/>
              <w:autoSpaceDN w:val="0"/>
              <w:adjustRightInd w:val="0"/>
              <w:jc w:val="center"/>
              <w:rPr>
                <w:color w:val="000000"/>
                <w:sz w:val="16"/>
                <w:szCs w:val="16"/>
              </w:rPr>
            </w:pPr>
            <w:r>
              <w:rPr>
                <w:color w:val="000000"/>
                <w:sz w:val="16"/>
                <w:szCs w:val="16"/>
              </w:rPr>
              <w:t>50%</w:t>
            </w:r>
          </w:p>
        </w:tc>
      </w:tr>
      <w:tr w:rsidR="00444405" w:rsidRPr="00290579" w:rsidTr="00CC48D1">
        <w:tc>
          <w:tcPr>
            <w:tcW w:w="7621" w:type="dxa"/>
            <w:tcBorders>
              <w:left w:val="single" w:sz="4" w:space="0" w:color="auto"/>
            </w:tcBorders>
            <w:vAlign w:val="center"/>
          </w:tcPr>
          <w:p w:rsidR="00444405" w:rsidRDefault="00444405" w:rsidP="00CC48D1">
            <w:pPr>
              <w:autoSpaceDE w:val="0"/>
              <w:autoSpaceDN w:val="0"/>
              <w:adjustRightInd w:val="0"/>
              <w:rPr>
                <w:color w:val="000000"/>
                <w:sz w:val="16"/>
                <w:szCs w:val="16"/>
              </w:rPr>
            </w:pPr>
          </w:p>
          <w:p w:rsidR="00444405" w:rsidRDefault="00444405" w:rsidP="00CC48D1">
            <w:pPr>
              <w:autoSpaceDE w:val="0"/>
              <w:autoSpaceDN w:val="0"/>
              <w:adjustRightInd w:val="0"/>
              <w:rPr>
                <w:color w:val="000000"/>
                <w:sz w:val="16"/>
                <w:szCs w:val="16"/>
              </w:rPr>
            </w:pPr>
            <w:r>
              <w:rPr>
                <w:color w:val="000000"/>
                <w:sz w:val="16"/>
                <w:szCs w:val="16"/>
              </w:rPr>
              <w:t>Skills</w:t>
            </w:r>
          </w:p>
          <w:p w:rsidR="00444405" w:rsidRPr="00290579" w:rsidRDefault="00444405" w:rsidP="00CC48D1">
            <w:pPr>
              <w:autoSpaceDE w:val="0"/>
              <w:autoSpaceDN w:val="0"/>
              <w:adjustRightInd w:val="0"/>
              <w:rPr>
                <w:color w:val="000000"/>
                <w:sz w:val="16"/>
                <w:szCs w:val="16"/>
              </w:rPr>
            </w:pPr>
          </w:p>
        </w:tc>
        <w:tc>
          <w:tcPr>
            <w:tcW w:w="2268" w:type="dxa"/>
            <w:vAlign w:val="center"/>
          </w:tcPr>
          <w:p w:rsidR="00444405" w:rsidRPr="00290579" w:rsidRDefault="00444405" w:rsidP="00CC48D1">
            <w:pPr>
              <w:autoSpaceDE w:val="0"/>
              <w:autoSpaceDN w:val="0"/>
              <w:adjustRightInd w:val="0"/>
              <w:jc w:val="center"/>
              <w:rPr>
                <w:color w:val="000000"/>
                <w:sz w:val="16"/>
                <w:szCs w:val="16"/>
              </w:rPr>
            </w:pPr>
            <w:r>
              <w:rPr>
                <w:color w:val="000000"/>
                <w:sz w:val="16"/>
                <w:szCs w:val="16"/>
              </w:rPr>
              <w:t>50%</w:t>
            </w:r>
          </w:p>
        </w:tc>
      </w:tr>
    </w:tbl>
    <w:p w:rsidR="00444405" w:rsidRDefault="00444405" w:rsidP="00444405"/>
    <w:p w:rsidR="00444405" w:rsidRDefault="00444405" w:rsidP="00444405"/>
    <w:p w:rsidR="00444405" w:rsidRPr="004B2967" w:rsidRDefault="00444405" w:rsidP="00444405">
      <w:pPr>
        <w:pStyle w:val="BodyText"/>
        <w:spacing w:line="276" w:lineRule="auto"/>
        <w:rPr>
          <w:rFonts w:ascii="Arial" w:hAnsi="Arial" w:cs="Arial"/>
          <w:sz w:val="20"/>
          <w:szCs w:val="20"/>
        </w:rPr>
      </w:pPr>
      <w:r w:rsidRPr="004B2967">
        <w:rPr>
          <w:rFonts w:ascii="Arial" w:hAnsi="Arial" w:cs="Arial"/>
          <w:sz w:val="20"/>
          <w:szCs w:val="20"/>
        </w:rPr>
        <w:t>EVIDENCE OF LEARNING (Assessment)</w:t>
      </w:r>
    </w:p>
    <w:p w:rsidR="00444405" w:rsidRPr="00444405" w:rsidRDefault="00444405" w:rsidP="00444405">
      <w:pPr>
        <w:rPr>
          <w:sz w:val="6"/>
        </w:rPr>
      </w:pPr>
    </w:p>
    <w:tbl>
      <w:tblPr>
        <w:tblStyle w:val="TableGrid"/>
        <w:tblW w:w="9889" w:type="dxa"/>
        <w:tblLayout w:type="fixed"/>
        <w:tblLook w:val="04A0" w:firstRow="1" w:lastRow="0" w:firstColumn="1" w:lastColumn="0" w:noHBand="0" w:noVBand="1"/>
      </w:tblPr>
      <w:tblGrid>
        <w:gridCol w:w="534"/>
        <w:gridCol w:w="1275"/>
        <w:gridCol w:w="2127"/>
        <w:gridCol w:w="2268"/>
        <w:gridCol w:w="992"/>
        <w:gridCol w:w="1063"/>
        <w:gridCol w:w="1063"/>
        <w:gridCol w:w="567"/>
      </w:tblGrid>
      <w:tr w:rsidR="00444405" w:rsidTr="00CC48D1">
        <w:trPr>
          <w:trHeight w:val="283"/>
        </w:trPr>
        <w:tc>
          <w:tcPr>
            <w:tcW w:w="534" w:type="dxa"/>
            <w:vMerge w:val="restart"/>
            <w:tcBorders>
              <w:bottom w:val="double" w:sz="4" w:space="0" w:color="C00000"/>
            </w:tcBorders>
            <w:shd w:val="clear" w:color="auto" w:fill="8DB3E2" w:themeFill="text2" w:themeFillTint="66"/>
            <w:vAlign w:val="center"/>
          </w:tcPr>
          <w:p w:rsidR="00444405" w:rsidRPr="001E3236" w:rsidRDefault="00444405" w:rsidP="00CC48D1">
            <w:pPr>
              <w:jc w:val="center"/>
              <w:rPr>
                <w:b/>
                <w:sz w:val="12"/>
                <w:szCs w:val="16"/>
              </w:rPr>
            </w:pPr>
            <w:r w:rsidRPr="001E3236">
              <w:rPr>
                <w:b/>
                <w:sz w:val="12"/>
                <w:szCs w:val="16"/>
              </w:rPr>
              <w:t>Task No.</w:t>
            </w:r>
          </w:p>
        </w:tc>
        <w:tc>
          <w:tcPr>
            <w:tcW w:w="1275" w:type="dxa"/>
            <w:vMerge w:val="restart"/>
            <w:tcBorders>
              <w:bottom w:val="double" w:sz="4" w:space="0" w:color="C00000"/>
            </w:tcBorders>
            <w:shd w:val="clear" w:color="auto" w:fill="8DB3E2" w:themeFill="text2" w:themeFillTint="66"/>
            <w:vAlign w:val="center"/>
          </w:tcPr>
          <w:p w:rsidR="00444405" w:rsidRPr="00A62DF0" w:rsidRDefault="00444405" w:rsidP="00CC48D1">
            <w:pPr>
              <w:jc w:val="center"/>
              <w:rPr>
                <w:b/>
                <w:sz w:val="16"/>
                <w:szCs w:val="16"/>
              </w:rPr>
            </w:pPr>
            <w:r>
              <w:rPr>
                <w:b/>
                <w:sz w:val="16"/>
                <w:szCs w:val="16"/>
              </w:rPr>
              <w:t xml:space="preserve">Targeted </w:t>
            </w:r>
            <w:r w:rsidRPr="00A62DF0">
              <w:rPr>
                <w:b/>
                <w:sz w:val="16"/>
                <w:szCs w:val="16"/>
              </w:rPr>
              <w:t>Outcomes</w:t>
            </w:r>
          </w:p>
        </w:tc>
        <w:tc>
          <w:tcPr>
            <w:tcW w:w="2127" w:type="dxa"/>
            <w:vMerge w:val="restart"/>
            <w:tcBorders>
              <w:bottom w:val="double" w:sz="4" w:space="0" w:color="C00000"/>
            </w:tcBorders>
            <w:shd w:val="clear" w:color="auto" w:fill="8DB3E2" w:themeFill="text2" w:themeFillTint="66"/>
            <w:vAlign w:val="center"/>
          </w:tcPr>
          <w:p w:rsidR="00444405" w:rsidRPr="00A62DF0" w:rsidRDefault="00444405" w:rsidP="00CC48D1">
            <w:pPr>
              <w:jc w:val="center"/>
              <w:rPr>
                <w:b/>
                <w:sz w:val="16"/>
                <w:szCs w:val="16"/>
              </w:rPr>
            </w:pPr>
            <w:r w:rsidRPr="00A62DF0">
              <w:rPr>
                <w:b/>
                <w:sz w:val="16"/>
                <w:szCs w:val="16"/>
              </w:rPr>
              <w:t>Learning Context</w:t>
            </w:r>
          </w:p>
        </w:tc>
        <w:tc>
          <w:tcPr>
            <w:tcW w:w="2268" w:type="dxa"/>
            <w:vMerge w:val="restart"/>
            <w:tcBorders>
              <w:bottom w:val="double" w:sz="4" w:space="0" w:color="C00000"/>
            </w:tcBorders>
            <w:shd w:val="clear" w:color="auto" w:fill="8DB3E2" w:themeFill="text2" w:themeFillTint="66"/>
            <w:vAlign w:val="center"/>
          </w:tcPr>
          <w:p w:rsidR="00444405" w:rsidRPr="00A62DF0" w:rsidRDefault="00444405" w:rsidP="00CC48D1">
            <w:pPr>
              <w:jc w:val="center"/>
              <w:rPr>
                <w:b/>
                <w:sz w:val="16"/>
                <w:szCs w:val="16"/>
              </w:rPr>
            </w:pPr>
            <w:r w:rsidRPr="00A62DF0">
              <w:rPr>
                <w:b/>
                <w:sz w:val="16"/>
                <w:szCs w:val="16"/>
              </w:rPr>
              <w:t>Task</w:t>
            </w:r>
          </w:p>
        </w:tc>
        <w:tc>
          <w:tcPr>
            <w:tcW w:w="992" w:type="dxa"/>
            <w:vMerge w:val="restart"/>
            <w:shd w:val="clear" w:color="auto" w:fill="8DB3E2" w:themeFill="text2" w:themeFillTint="66"/>
            <w:vAlign w:val="center"/>
          </w:tcPr>
          <w:p w:rsidR="00444405" w:rsidRPr="00A62DF0" w:rsidRDefault="00444405" w:rsidP="00CC48D1">
            <w:pPr>
              <w:jc w:val="center"/>
              <w:rPr>
                <w:b/>
                <w:sz w:val="16"/>
                <w:szCs w:val="16"/>
              </w:rPr>
            </w:pPr>
            <w:r>
              <w:rPr>
                <w:b/>
                <w:sz w:val="16"/>
                <w:szCs w:val="16"/>
              </w:rPr>
              <w:t>Date Due</w:t>
            </w:r>
          </w:p>
        </w:tc>
        <w:tc>
          <w:tcPr>
            <w:tcW w:w="2126" w:type="dxa"/>
            <w:gridSpan w:val="2"/>
            <w:tcBorders>
              <w:bottom w:val="single" w:sz="4" w:space="0" w:color="auto"/>
            </w:tcBorders>
            <w:shd w:val="clear" w:color="auto" w:fill="8DB3E2" w:themeFill="text2" w:themeFillTint="66"/>
            <w:vAlign w:val="center"/>
          </w:tcPr>
          <w:p w:rsidR="00444405" w:rsidRPr="00A62DF0" w:rsidRDefault="00444405" w:rsidP="00CC48D1">
            <w:pPr>
              <w:jc w:val="center"/>
              <w:rPr>
                <w:b/>
                <w:sz w:val="16"/>
                <w:szCs w:val="16"/>
              </w:rPr>
            </w:pPr>
            <w:r w:rsidRPr="00A62DF0">
              <w:rPr>
                <w:b/>
                <w:sz w:val="16"/>
                <w:szCs w:val="16"/>
              </w:rPr>
              <w:t>Weighting</w:t>
            </w:r>
          </w:p>
        </w:tc>
        <w:tc>
          <w:tcPr>
            <w:tcW w:w="567" w:type="dxa"/>
            <w:vMerge w:val="restart"/>
            <w:tcBorders>
              <w:bottom w:val="double" w:sz="4" w:space="0" w:color="C00000"/>
            </w:tcBorders>
            <w:shd w:val="clear" w:color="auto" w:fill="8DB3E2" w:themeFill="text2" w:themeFillTint="66"/>
            <w:vAlign w:val="center"/>
          </w:tcPr>
          <w:p w:rsidR="00444405" w:rsidRPr="00A62DF0" w:rsidRDefault="00444405" w:rsidP="00CC48D1">
            <w:pPr>
              <w:jc w:val="center"/>
              <w:rPr>
                <w:b/>
                <w:sz w:val="16"/>
                <w:szCs w:val="16"/>
              </w:rPr>
            </w:pPr>
            <w:r w:rsidRPr="007C4D79">
              <w:rPr>
                <w:b/>
                <w:sz w:val="12"/>
                <w:szCs w:val="16"/>
              </w:rPr>
              <w:t>Marks</w:t>
            </w:r>
          </w:p>
        </w:tc>
      </w:tr>
      <w:tr w:rsidR="00444405" w:rsidTr="00CC48D1">
        <w:tc>
          <w:tcPr>
            <w:tcW w:w="534" w:type="dxa"/>
            <w:vMerge/>
            <w:tcBorders>
              <w:bottom w:val="double" w:sz="4" w:space="0" w:color="C00000"/>
            </w:tcBorders>
          </w:tcPr>
          <w:p w:rsidR="00444405" w:rsidRDefault="00444405" w:rsidP="00CC48D1"/>
        </w:tc>
        <w:tc>
          <w:tcPr>
            <w:tcW w:w="1275" w:type="dxa"/>
            <w:vMerge/>
            <w:tcBorders>
              <w:bottom w:val="double" w:sz="4" w:space="0" w:color="C00000"/>
            </w:tcBorders>
          </w:tcPr>
          <w:p w:rsidR="00444405" w:rsidRDefault="00444405" w:rsidP="00CC48D1"/>
        </w:tc>
        <w:tc>
          <w:tcPr>
            <w:tcW w:w="2127" w:type="dxa"/>
            <w:vMerge/>
            <w:tcBorders>
              <w:bottom w:val="double" w:sz="4" w:space="0" w:color="C00000"/>
            </w:tcBorders>
          </w:tcPr>
          <w:p w:rsidR="00444405" w:rsidRDefault="00444405" w:rsidP="00CC48D1"/>
        </w:tc>
        <w:tc>
          <w:tcPr>
            <w:tcW w:w="2268" w:type="dxa"/>
            <w:vMerge/>
            <w:tcBorders>
              <w:bottom w:val="double" w:sz="4" w:space="0" w:color="C00000"/>
            </w:tcBorders>
          </w:tcPr>
          <w:p w:rsidR="00444405" w:rsidRDefault="00444405" w:rsidP="00CC48D1"/>
        </w:tc>
        <w:tc>
          <w:tcPr>
            <w:tcW w:w="992" w:type="dxa"/>
            <w:vMerge/>
            <w:tcBorders>
              <w:bottom w:val="double" w:sz="4" w:space="0" w:color="C00000"/>
            </w:tcBorders>
            <w:shd w:val="clear" w:color="auto" w:fill="B8CCE4" w:themeFill="accent1" w:themeFillTint="66"/>
          </w:tcPr>
          <w:p w:rsidR="00444405" w:rsidRPr="00A62DF0" w:rsidRDefault="00444405" w:rsidP="00CC48D1">
            <w:pPr>
              <w:jc w:val="center"/>
              <w:rPr>
                <w:sz w:val="16"/>
                <w:szCs w:val="16"/>
              </w:rPr>
            </w:pPr>
          </w:p>
        </w:tc>
        <w:tc>
          <w:tcPr>
            <w:tcW w:w="1063" w:type="dxa"/>
            <w:tcBorders>
              <w:bottom w:val="double" w:sz="4" w:space="0" w:color="C00000"/>
            </w:tcBorders>
            <w:shd w:val="clear" w:color="auto" w:fill="B8CCE4" w:themeFill="accent1" w:themeFillTint="66"/>
            <w:vAlign w:val="center"/>
          </w:tcPr>
          <w:p w:rsidR="00444405" w:rsidRPr="00A62DF0" w:rsidRDefault="00444405" w:rsidP="00CC48D1">
            <w:pPr>
              <w:jc w:val="center"/>
              <w:rPr>
                <w:sz w:val="16"/>
                <w:szCs w:val="16"/>
              </w:rPr>
            </w:pPr>
            <w:r w:rsidRPr="00A62DF0">
              <w:rPr>
                <w:sz w:val="16"/>
                <w:szCs w:val="16"/>
              </w:rPr>
              <w:t>A</w:t>
            </w:r>
          </w:p>
        </w:tc>
        <w:tc>
          <w:tcPr>
            <w:tcW w:w="1063" w:type="dxa"/>
            <w:tcBorders>
              <w:bottom w:val="double" w:sz="4" w:space="0" w:color="C00000"/>
            </w:tcBorders>
            <w:shd w:val="clear" w:color="auto" w:fill="B8CCE4" w:themeFill="accent1" w:themeFillTint="66"/>
            <w:vAlign w:val="center"/>
          </w:tcPr>
          <w:p w:rsidR="00444405" w:rsidRPr="00A62DF0" w:rsidRDefault="00444405" w:rsidP="00CC48D1">
            <w:pPr>
              <w:jc w:val="center"/>
              <w:rPr>
                <w:sz w:val="16"/>
                <w:szCs w:val="16"/>
              </w:rPr>
            </w:pPr>
            <w:r w:rsidRPr="00A62DF0">
              <w:rPr>
                <w:sz w:val="16"/>
                <w:szCs w:val="16"/>
              </w:rPr>
              <w:t>B</w:t>
            </w:r>
          </w:p>
        </w:tc>
        <w:tc>
          <w:tcPr>
            <w:tcW w:w="567" w:type="dxa"/>
            <w:vMerge/>
            <w:tcBorders>
              <w:bottom w:val="double" w:sz="4" w:space="0" w:color="C00000"/>
            </w:tcBorders>
          </w:tcPr>
          <w:p w:rsidR="00444405" w:rsidRDefault="00444405" w:rsidP="00CC48D1"/>
        </w:tc>
      </w:tr>
      <w:tr w:rsidR="00444405" w:rsidTr="00CC48D1">
        <w:trPr>
          <w:trHeight w:val="552"/>
        </w:trPr>
        <w:tc>
          <w:tcPr>
            <w:tcW w:w="534" w:type="dxa"/>
            <w:tcBorders>
              <w:top w:val="double" w:sz="4" w:space="0" w:color="C00000"/>
            </w:tcBorders>
            <w:vAlign w:val="center"/>
          </w:tcPr>
          <w:p w:rsidR="00444405" w:rsidRPr="00A62DF0" w:rsidRDefault="00444405" w:rsidP="00CC48D1">
            <w:pPr>
              <w:jc w:val="center"/>
              <w:rPr>
                <w:sz w:val="16"/>
                <w:szCs w:val="16"/>
              </w:rPr>
            </w:pPr>
            <w:r>
              <w:rPr>
                <w:sz w:val="16"/>
                <w:szCs w:val="16"/>
              </w:rPr>
              <w:t>1</w:t>
            </w:r>
          </w:p>
        </w:tc>
        <w:tc>
          <w:tcPr>
            <w:tcW w:w="1275" w:type="dxa"/>
            <w:tcBorders>
              <w:top w:val="double" w:sz="4" w:space="0" w:color="C00000"/>
            </w:tcBorders>
            <w:vAlign w:val="center"/>
          </w:tcPr>
          <w:p w:rsidR="00444405" w:rsidRPr="00A62DF0" w:rsidRDefault="00444405" w:rsidP="00CC48D1">
            <w:pPr>
              <w:rPr>
                <w:sz w:val="16"/>
                <w:szCs w:val="16"/>
              </w:rPr>
            </w:pPr>
            <w:r>
              <w:rPr>
                <w:sz w:val="16"/>
                <w:szCs w:val="16"/>
              </w:rPr>
              <w:t>P – 1.1, 1.4, 2.1, 5.1, 6.1</w:t>
            </w:r>
          </w:p>
        </w:tc>
        <w:tc>
          <w:tcPr>
            <w:tcW w:w="2127" w:type="dxa"/>
            <w:tcBorders>
              <w:top w:val="double" w:sz="4" w:space="0" w:color="C00000"/>
            </w:tcBorders>
            <w:vAlign w:val="center"/>
          </w:tcPr>
          <w:p w:rsidR="00444405" w:rsidRPr="00A62DF0" w:rsidRDefault="00444405" w:rsidP="00CC48D1">
            <w:pPr>
              <w:rPr>
                <w:sz w:val="16"/>
                <w:szCs w:val="16"/>
              </w:rPr>
            </w:pPr>
            <w:r>
              <w:rPr>
                <w:sz w:val="16"/>
                <w:szCs w:val="16"/>
              </w:rPr>
              <w:t>Pregnancy and Childbirth</w:t>
            </w:r>
          </w:p>
        </w:tc>
        <w:tc>
          <w:tcPr>
            <w:tcW w:w="2268" w:type="dxa"/>
            <w:tcBorders>
              <w:top w:val="double" w:sz="4" w:space="0" w:color="C00000"/>
            </w:tcBorders>
            <w:vAlign w:val="center"/>
          </w:tcPr>
          <w:p w:rsidR="00444405" w:rsidRPr="00A62DF0" w:rsidRDefault="00444405" w:rsidP="00CC48D1">
            <w:pPr>
              <w:rPr>
                <w:sz w:val="16"/>
                <w:szCs w:val="16"/>
              </w:rPr>
            </w:pPr>
            <w:r>
              <w:rPr>
                <w:sz w:val="16"/>
                <w:szCs w:val="16"/>
              </w:rPr>
              <w:t>Class Activities / Quiz</w:t>
            </w:r>
          </w:p>
        </w:tc>
        <w:tc>
          <w:tcPr>
            <w:tcW w:w="992" w:type="dxa"/>
            <w:tcBorders>
              <w:top w:val="double" w:sz="4" w:space="0" w:color="C00000"/>
            </w:tcBorders>
            <w:vAlign w:val="center"/>
          </w:tcPr>
          <w:p w:rsidR="00444405" w:rsidRDefault="00444405" w:rsidP="00CC48D1">
            <w:pPr>
              <w:rPr>
                <w:sz w:val="16"/>
                <w:szCs w:val="16"/>
              </w:rPr>
            </w:pPr>
            <w:r>
              <w:rPr>
                <w:sz w:val="16"/>
                <w:szCs w:val="16"/>
              </w:rPr>
              <w:t>Term 1</w:t>
            </w:r>
          </w:p>
          <w:p w:rsidR="00444405" w:rsidRPr="00A62DF0" w:rsidRDefault="00444405" w:rsidP="00CC48D1">
            <w:pPr>
              <w:rPr>
                <w:sz w:val="16"/>
                <w:szCs w:val="16"/>
              </w:rPr>
            </w:pPr>
            <w:r>
              <w:rPr>
                <w:sz w:val="16"/>
                <w:szCs w:val="16"/>
              </w:rPr>
              <w:t>Week 9</w:t>
            </w:r>
          </w:p>
        </w:tc>
        <w:tc>
          <w:tcPr>
            <w:tcW w:w="1063" w:type="dxa"/>
            <w:tcBorders>
              <w:top w:val="double" w:sz="4" w:space="0" w:color="C00000"/>
            </w:tcBorders>
            <w:vAlign w:val="center"/>
          </w:tcPr>
          <w:p w:rsidR="00444405" w:rsidRPr="00B46BD4" w:rsidRDefault="00444405" w:rsidP="00CC48D1">
            <w:pPr>
              <w:jc w:val="center"/>
              <w:rPr>
                <w:sz w:val="12"/>
                <w:szCs w:val="16"/>
              </w:rPr>
            </w:pPr>
            <w:r>
              <w:rPr>
                <w:sz w:val="12"/>
                <w:szCs w:val="16"/>
              </w:rPr>
              <w:t>20%</w:t>
            </w:r>
          </w:p>
        </w:tc>
        <w:tc>
          <w:tcPr>
            <w:tcW w:w="1063" w:type="dxa"/>
            <w:tcBorders>
              <w:top w:val="double" w:sz="4" w:space="0" w:color="C00000"/>
            </w:tcBorders>
            <w:vAlign w:val="center"/>
          </w:tcPr>
          <w:p w:rsidR="00444405" w:rsidRPr="00B46BD4" w:rsidRDefault="00444405" w:rsidP="00CC48D1">
            <w:pPr>
              <w:jc w:val="center"/>
              <w:rPr>
                <w:sz w:val="12"/>
                <w:szCs w:val="16"/>
              </w:rPr>
            </w:pPr>
            <w:r>
              <w:rPr>
                <w:sz w:val="12"/>
                <w:szCs w:val="16"/>
              </w:rPr>
              <w:t>15%</w:t>
            </w:r>
          </w:p>
        </w:tc>
        <w:tc>
          <w:tcPr>
            <w:tcW w:w="567" w:type="dxa"/>
            <w:tcBorders>
              <w:top w:val="double" w:sz="4" w:space="0" w:color="C00000"/>
            </w:tcBorders>
            <w:vAlign w:val="center"/>
          </w:tcPr>
          <w:p w:rsidR="00444405" w:rsidRPr="00A62DF0" w:rsidRDefault="00444405" w:rsidP="00CC48D1">
            <w:pPr>
              <w:jc w:val="center"/>
              <w:rPr>
                <w:sz w:val="16"/>
                <w:szCs w:val="16"/>
              </w:rPr>
            </w:pPr>
            <w:r>
              <w:rPr>
                <w:sz w:val="16"/>
                <w:szCs w:val="16"/>
              </w:rPr>
              <w:t>35%</w:t>
            </w:r>
          </w:p>
        </w:tc>
      </w:tr>
      <w:tr w:rsidR="00444405" w:rsidTr="00CC48D1">
        <w:trPr>
          <w:trHeight w:val="552"/>
        </w:trPr>
        <w:tc>
          <w:tcPr>
            <w:tcW w:w="534" w:type="dxa"/>
            <w:vAlign w:val="center"/>
          </w:tcPr>
          <w:p w:rsidR="00444405" w:rsidRPr="00A62DF0" w:rsidRDefault="00444405" w:rsidP="00CC48D1">
            <w:pPr>
              <w:jc w:val="center"/>
              <w:rPr>
                <w:sz w:val="16"/>
                <w:szCs w:val="16"/>
              </w:rPr>
            </w:pPr>
            <w:r>
              <w:rPr>
                <w:sz w:val="16"/>
                <w:szCs w:val="16"/>
              </w:rPr>
              <w:t>2</w:t>
            </w:r>
          </w:p>
        </w:tc>
        <w:tc>
          <w:tcPr>
            <w:tcW w:w="1275" w:type="dxa"/>
            <w:vAlign w:val="center"/>
          </w:tcPr>
          <w:p w:rsidR="00444405" w:rsidRPr="00A62DF0" w:rsidRDefault="00444405" w:rsidP="00CC48D1">
            <w:pPr>
              <w:rPr>
                <w:sz w:val="16"/>
                <w:szCs w:val="16"/>
              </w:rPr>
            </w:pPr>
            <w:r>
              <w:rPr>
                <w:sz w:val="16"/>
                <w:szCs w:val="16"/>
              </w:rPr>
              <w:t>P – 1.2, 1.3, 2.4, 5.1</w:t>
            </w:r>
          </w:p>
        </w:tc>
        <w:tc>
          <w:tcPr>
            <w:tcW w:w="2127" w:type="dxa"/>
            <w:vAlign w:val="center"/>
          </w:tcPr>
          <w:p w:rsidR="00444405" w:rsidRPr="00A62DF0" w:rsidRDefault="00444405" w:rsidP="00CC48D1">
            <w:pPr>
              <w:rPr>
                <w:sz w:val="16"/>
                <w:szCs w:val="16"/>
              </w:rPr>
            </w:pPr>
            <w:r>
              <w:rPr>
                <w:sz w:val="16"/>
                <w:szCs w:val="16"/>
              </w:rPr>
              <w:t>Child growth and development</w:t>
            </w:r>
          </w:p>
        </w:tc>
        <w:tc>
          <w:tcPr>
            <w:tcW w:w="2268" w:type="dxa"/>
            <w:vAlign w:val="center"/>
          </w:tcPr>
          <w:p w:rsidR="00444405" w:rsidRPr="00A62DF0" w:rsidRDefault="00444405" w:rsidP="00CC48D1">
            <w:pPr>
              <w:rPr>
                <w:sz w:val="16"/>
                <w:szCs w:val="16"/>
              </w:rPr>
            </w:pPr>
            <w:r>
              <w:rPr>
                <w:sz w:val="16"/>
                <w:szCs w:val="16"/>
              </w:rPr>
              <w:t>Research – practical task</w:t>
            </w:r>
          </w:p>
        </w:tc>
        <w:tc>
          <w:tcPr>
            <w:tcW w:w="992" w:type="dxa"/>
            <w:vAlign w:val="center"/>
          </w:tcPr>
          <w:p w:rsidR="00444405" w:rsidRDefault="00444405" w:rsidP="00CC48D1">
            <w:pPr>
              <w:rPr>
                <w:sz w:val="16"/>
                <w:szCs w:val="16"/>
              </w:rPr>
            </w:pPr>
            <w:r>
              <w:rPr>
                <w:sz w:val="16"/>
                <w:szCs w:val="16"/>
              </w:rPr>
              <w:t>Term 2</w:t>
            </w:r>
          </w:p>
          <w:p w:rsidR="00444405" w:rsidRPr="00A62DF0" w:rsidRDefault="00444405" w:rsidP="00CC48D1">
            <w:pPr>
              <w:rPr>
                <w:sz w:val="16"/>
                <w:szCs w:val="16"/>
              </w:rPr>
            </w:pPr>
            <w:r>
              <w:rPr>
                <w:sz w:val="16"/>
                <w:szCs w:val="16"/>
              </w:rPr>
              <w:t>Week 9</w:t>
            </w:r>
          </w:p>
        </w:tc>
        <w:tc>
          <w:tcPr>
            <w:tcW w:w="1063" w:type="dxa"/>
            <w:vAlign w:val="center"/>
          </w:tcPr>
          <w:p w:rsidR="00444405" w:rsidRPr="00B46BD4" w:rsidRDefault="00444405" w:rsidP="00CC48D1">
            <w:pPr>
              <w:jc w:val="center"/>
              <w:rPr>
                <w:sz w:val="12"/>
                <w:szCs w:val="16"/>
              </w:rPr>
            </w:pPr>
          </w:p>
        </w:tc>
        <w:tc>
          <w:tcPr>
            <w:tcW w:w="1063" w:type="dxa"/>
            <w:vAlign w:val="center"/>
          </w:tcPr>
          <w:p w:rsidR="00444405" w:rsidRPr="00B46BD4" w:rsidRDefault="00444405" w:rsidP="00CC48D1">
            <w:pPr>
              <w:jc w:val="center"/>
              <w:rPr>
                <w:sz w:val="12"/>
                <w:szCs w:val="16"/>
              </w:rPr>
            </w:pPr>
            <w:r>
              <w:rPr>
                <w:sz w:val="12"/>
                <w:szCs w:val="16"/>
              </w:rPr>
              <w:t>35%</w:t>
            </w:r>
          </w:p>
        </w:tc>
        <w:tc>
          <w:tcPr>
            <w:tcW w:w="567" w:type="dxa"/>
            <w:vAlign w:val="center"/>
          </w:tcPr>
          <w:p w:rsidR="00444405" w:rsidRPr="00A62DF0" w:rsidRDefault="00444405" w:rsidP="00CC48D1">
            <w:pPr>
              <w:jc w:val="center"/>
              <w:rPr>
                <w:sz w:val="16"/>
                <w:szCs w:val="16"/>
              </w:rPr>
            </w:pPr>
            <w:r>
              <w:rPr>
                <w:sz w:val="16"/>
                <w:szCs w:val="16"/>
              </w:rPr>
              <w:t>35%</w:t>
            </w:r>
          </w:p>
        </w:tc>
      </w:tr>
      <w:tr w:rsidR="00444405" w:rsidTr="00CC48D1">
        <w:trPr>
          <w:trHeight w:val="552"/>
        </w:trPr>
        <w:tc>
          <w:tcPr>
            <w:tcW w:w="534" w:type="dxa"/>
            <w:vAlign w:val="center"/>
          </w:tcPr>
          <w:p w:rsidR="00444405" w:rsidRPr="00A62DF0" w:rsidRDefault="00444405" w:rsidP="00CC48D1">
            <w:pPr>
              <w:jc w:val="center"/>
              <w:rPr>
                <w:sz w:val="16"/>
                <w:szCs w:val="16"/>
              </w:rPr>
            </w:pPr>
            <w:r>
              <w:rPr>
                <w:sz w:val="16"/>
                <w:szCs w:val="16"/>
              </w:rPr>
              <w:t>3</w:t>
            </w:r>
          </w:p>
        </w:tc>
        <w:tc>
          <w:tcPr>
            <w:tcW w:w="1275" w:type="dxa"/>
            <w:vMerge w:val="restart"/>
            <w:vAlign w:val="center"/>
          </w:tcPr>
          <w:p w:rsidR="00444405" w:rsidRPr="00A62DF0" w:rsidRDefault="00444405" w:rsidP="00CC48D1">
            <w:pPr>
              <w:rPr>
                <w:sz w:val="16"/>
                <w:szCs w:val="16"/>
              </w:rPr>
            </w:pPr>
            <w:r>
              <w:rPr>
                <w:sz w:val="16"/>
                <w:szCs w:val="16"/>
              </w:rPr>
              <w:t>P – 1.3, 1.4, 1.5, 2.4, 4.2</w:t>
            </w:r>
          </w:p>
        </w:tc>
        <w:tc>
          <w:tcPr>
            <w:tcW w:w="2127" w:type="dxa"/>
            <w:vMerge w:val="restart"/>
            <w:vAlign w:val="center"/>
          </w:tcPr>
          <w:p w:rsidR="00444405" w:rsidRPr="00A62DF0" w:rsidRDefault="00444405" w:rsidP="00CC48D1">
            <w:pPr>
              <w:rPr>
                <w:sz w:val="16"/>
                <w:szCs w:val="16"/>
              </w:rPr>
            </w:pPr>
            <w:r>
              <w:rPr>
                <w:sz w:val="16"/>
                <w:szCs w:val="16"/>
              </w:rPr>
              <w:t>Learning Experiences for young children</w:t>
            </w:r>
          </w:p>
        </w:tc>
        <w:tc>
          <w:tcPr>
            <w:tcW w:w="2268" w:type="dxa"/>
            <w:vAlign w:val="center"/>
          </w:tcPr>
          <w:p w:rsidR="00444405" w:rsidRPr="00A62DF0" w:rsidRDefault="00444405" w:rsidP="00CC48D1">
            <w:pPr>
              <w:rPr>
                <w:sz w:val="16"/>
                <w:szCs w:val="16"/>
              </w:rPr>
            </w:pPr>
            <w:r>
              <w:rPr>
                <w:sz w:val="16"/>
                <w:szCs w:val="16"/>
              </w:rPr>
              <w:t>Class Activities</w:t>
            </w:r>
          </w:p>
        </w:tc>
        <w:tc>
          <w:tcPr>
            <w:tcW w:w="992" w:type="dxa"/>
            <w:vMerge w:val="restart"/>
            <w:vAlign w:val="center"/>
          </w:tcPr>
          <w:p w:rsidR="00444405" w:rsidRDefault="00444405" w:rsidP="00CC48D1">
            <w:pPr>
              <w:rPr>
                <w:sz w:val="16"/>
                <w:szCs w:val="16"/>
              </w:rPr>
            </w:pPr>
            <w:r>
              <w:rPr>
                <w:sz w:val="16"/>
                <w:szCs w:val="16"/>
              </w:rPr>
              <w:t>Term 3</w:t>
            </w:r>
          </w:p>
          <w:p w:rsidR="00444405" w:rsidRPr="00A62DF0" w:rsidRDefault="00444405" w:rsidP="00CC48D1">
            <w:pPr>
              <w:rPr>
                <w:sz w:val="16"/>
                <w:szCs w:val="16"/>
              </w:rPr>
            </w:pPr>
            <w:r>
              <w:rPr>
                <w:sz w:val="16"/>
                <w:szCs w:val="16"/>
              </w:rPr>
              <w:t>Wks 9-10</w:t>
            </w:r>
          </w:p>
        </w:tc>
        <w:tc>
          <w:tcPr>
            <w:tcW w:w="1063" w:type="dxa"/>
            <w:vAlign w:val="center"/>
          </w:tcPr>
          <w:p w:rsidR="00444405" w:rsidRPr="00B46BD4" w:rsidRDefault="00444405" w:rsidP="00CC48D1">
            <w:pPr>
              <w:jc w:val="center"/>
              <w:rPr>
                <w:sz w:val="12"/>
                <w:szCs w:val="16"/>
              </w:rPr>
            </w:pPr>
            <w:r>
              <w:rPr>
                <w:sz w:val="12"/>
                <w:szCs w:val="16"/>
              </w:rPr>
              <w:t>10%</w:t>
            </w:r>
          </w:p>
        </w:tc>
        <w:tc>
          <w:tcPr>
            <w:tcW w:w="1063" w:type="dxa"/>
            <w:vAlign w:val="center"/>
          </w:tcPr>
          <w:p w:rsidR="00444405" w:rsidRPr="00B46BD4" w:rsidRDefault="00444405" w:rsidP="00CC48D1">
            <w:pPr>
              <w:jc w:val="center"/>
              <w:rPr>
                <w:sz w:val="12"/>
                <w:szCs w:val="16"/>
              </w:rPr>
            </w:pPr>
          </w:p>
        </w:tc>
        <w:tc>
          <w:tcPr>
            <w:tcW w:w="567" w:type="dxa"/>
            <w:vAlign w:val="center"/>
          </w:tcPr>
          <w:p w:rsidR="00444405" w:rsidRPr="00A62DF0" w:rsidRDefault="00444405" w:rsidP="00CC48D1">
            <w:pPr>
              <w:jc w:val="center"/>
              <w:rPr>
                <w:sz w:val="16"/>
                <w:szCs w:val="16"/>
              </w:rPr>
            </w:pPr>
            <w:r>
              <w:rPr>
                <w:sz w:val="16"/>
                <w:szCs w:val="16"/>
              </w:rPr>
              <w:t>10%</w:t>
            </w:r>
          </w:p>
        </w:tc>
      </w:tr>
      <w:tr w:rsidR="00444405" w:rsidTr="00CC48D1">
        <w:trPr>
          <w:trHeight w:val="552"/>
        </w:trPr>
        <w:tc>
          <w:tcPr>
            <w:tcW w:w="534" w:type="dxa"/>
            <w:vAlign w:val="center"/>
          </w:tcPr>
          <w:p w:rsidR="00444405" w:rsidRPr="00A62DF0" w:rsidRDefault="00444405" w:rsidP="00CC48D1">
            <w:pPr>
              <w:jc w:val="center"/>
              <w:rPr>
                <w:sz w:val="16"/>
                <w:szCs w:val="16"/>
              </w:rPr>
            </w:pPr>
            <w:r>
              <w:rPr>
                <w:sz w:val="16"/>
                <w:szCs w:val="16"/>
              </w:rPr>
              <w:t>4</w:t>
            </w:r>
          </w:p>
        </w:tc>
        <w:tc>
          <w:tcPr>
            <w:tcW w:w="1275" w:type="dxa"/>
            <w:vMerge/>
            <w:vAlign w:val="center"/>
          </w:tcPr>
          <w:p w:rsidR="00444405" w:rsidRPr="00A62DF0" w:rsidRDefault="00444405" w:rsidP="00CC48D1">
            <w:pPr>
              <w:rPr>
                <w:sz w:val="16"/>
                <w:szCs w:val="16"/>
              </w:rPr>
            </w:pPr>
          </w:p>
        </w:tc>
        <w:tc>
          <w:tcPr>
            <w:tcW w:w="2127" w:type="dxa"/>
            <w:vMerge/>
            <w:vAlign w:val="center"/>
          </w:tcPr>
          <w:p w:rsidR="00444405" w:rsidRPr="00A62DF0" w:rsidRDefault="00444405" w:rsidP="00CC48D1">
            <w:pPr>
              <w:rPr>
                <w:sz w:val="16"/>
                <w:szCs w:val="16"/>
              </w:rPr>
            </w:pPr>
          </w:p>
        </w:tc>
        <w:tc>
          <w:tcPr>
            <w:tcW w:w="2268" w:type="dxa"/>
            <w:vAlign w:val="center"/>
          </w:tcPr>
          <w:p w:rsidR="00444405" w:rsidRPr="00A62DF0" w:rsidRDefault="00444405" w:rsidP="00CC48D1">
            <w:pPr>
              <w:rPr>
                <w:sz w:val="16"/>
                <w:szCs w:val="16"/>
              </w:rPr>
            </w:pPr>
            <w:r>
              <w:rPr>
                <w:sz w:val="16"/>
                <w:szCs w:val="16"/>
              </w:rPr>
              <w:t>End of Course Examination</w:t>
            </w:r>
          </w:p>
        </w:tc>
        <w:tc>
          <w:tcPr>
            <w:tcW w:w="992" w:type="dxa"/>
            <w:vMerge/>
            <w:vAlign w:val="center"/>
          </w:tcPr>
          <w:p w:rsidR="00444405" w:rsidRPr="00A62DF0" w:rsidRDefault="00444405" w:rsidP="00CC48D1">
            <w:pPr>
              <w:jc w:val="center"/>
              <w:rPr>
                <w:sz w:val="16"/>
                <w:szCs w:val="16"/>
              </w:rPr>
            </w:pPr>
          </w:p>
        </w:tc>
        <w:tc>
          <w:tcPr>
            <w:tcW w:w="1063" w:type="dxa"/>
            <w:vAlign w:val="center"/>
          </w:tcPr>
          <w:p w:rsidR="00444405" w:rsidRPr="00B46BD4" w:rsidRDefault="00444405" w:rsidP="00CC48D1">
            <w:pPr>
              <w:jc w:val="center"/>
              <w:rPr>
                <w:sz w:val="12"/>
                <w:szCs w:val="16"/>
              </w:rPr>
            </w:pPr>
            <w:r>
              <w:rPr>
                <w:sz w:val="12"/>
                <w:szCs w:val="16"/>
              </w:rPr>
              <w:t>20%</w:t>
            </w:r>
          </w:p>
        </w:tc>
        <w:tc>
          <w:tcPr>
            <w:tcW w:w="1063" w:type="dxa"/>
            <w:vAlign w:val="center"/>
          </w:tcPr>
          <w:p w:rsidR="00444405" w:rsidRPr="00B46BD4" w:rsidRDefault="00444405" w:rsidP="00CC48D1">
            <w:pPr>
              <w:jc w:val="center"/>
              <w:rPr>
                <w:sz w:val="12"/>
                <w:szCs w:val="16"/>
              </w:rPr>
            </w:pPr>
          </w:p>
        </w:tc>
        <w:tc>
          <w:tcPr>
            <w:tcW w:w="567" w:type="dxa"/>
            <w:vAlign w:val="center"/>
          </w:tcPr>
          <w:p w:rsidR="00444405" w:rsidRPr="00A62DF0" w:rsidRDefault="00444405" w:rsidP="00CC48D1">
            <w:pPr>
              <w:jc w:val="center"/>
              <w:rPr>
                <w:sz w:val="16"/>
                <w:szCs w:val="16"/>
              </w:rPr>
            </w:pPr>
            <w:r>
              <w:rPr>
                <w:sz w:val="16"/>
                <w:szCs w:val="16"/>
              </w:rPr>
              <w:t>20%</w:t>
            </w:r>
          </w:p>
        </w:tc>
      </w:tr>
      <w:tr w:rsidR="00444405" w:rsidTr="00CC48D1">
        <w:trPr>
          <w:trHeight w:val="368"/>
        </w:trPr>
        <w:tc>
          <w:tcPr>
            <w:tcW w:w="7196" w:type="dxa"/>
            <w:gridSpan w:val="5"/>
            <w:tcBorders>
              <w:bottom w:val="single" w:sz="4" w:space="0" w:color="auto"/>
            </w:tcBorders>
            <w:shd w:val="clear" w:color="auto" w:fill="E5B8B7" w:themeFill="accent2" w:themeFillTint="66"/>
            <w:vAlign w:val="center"/>
          </w:tcPr>
          <w:p w:rsidR="00444405" w:rsidRPr="00B34F76" w:rsidRDefault="00444405" w:rsidP="00CC48D1">
            <w:pPr>
              <w:rPr>
                <w:b/>
                <w:sz w:val="16"/>
                <w:szCs w:val="16"/>
              </w:rPr>
            </w:pPr>
            <w:r w:rsidRPr="00B34F76">
              <w:rPr>
                <w:b/>
                <w:sz w:val="16"/>
                <w:szCs w:val="16"/>
              </w:rPr>
              <w:t>TOTAL</w:t>
            </w:r>
          </w:p>
        </w:tc>
        <w:tc>
          <w:tcPr>
            <w:tcW w:w="1063" w:type="dxa"/>
            <w:tcBorders>
              <w:bottom w:val="single" w:sz="4" w:space="0" w:color="auto"/>
            </w:tcBorders>
            <w:shd w:val="clear" w:color="auto" w:fill="E5B8B7" w:themeFill="accent2" w:themeFillTint="66"/>
            <w:vAlign w:val="center"/>
          </w:tcPr>
          <w:p w:rsidR="00444405" w:rsidRPr="00790A7A" w:rsidRDefault="00444405" w:rsidP="00CC48D1">
            <w:pPr>
              <w:jc w:val="center"/>
              <w:rPr>
                <w:b/>
                <w:sz w:val="14"/>
                <w:szCs w:val="16"/>
              </w:rPr>
            </w:pPr>
            <w:r>
              <w:rPr>
                <w:b/>
                <w:sz w:val="14"/>
                <w:szCs w:val="16"/>
              </w:rPr>
              <w:t>50%</w:t>
            </w:r>
          </w:p>
        </w:tc>
        <w:tc>
          <w:tcPr>
            <w:tcW w:w="1063" w:type="dxa"/>
            <w:tcBorders>
              <w:bottom w:val="single" w:sz="4" w:space="0" w:color="auto"/>
            </w:tcBorders>
            <w:shd w:val="clear" w:color="auto" w:fill="E5B8B7" w:themeFill="accent2" w:themeFillTint="66"/>
            <w:vAlign w:val="center"/>
          </w:tcPr>
          <w:p w:rsidR="00444405" w:rsidRPr="00790A7A" w:rsidRDefault="00444405" w:rsidP="00CC48D1">
            <w:pPr>
              <w:jc w:val="center"/>
              <w:rPr>
                <w:b/>
                <w:sz w:val="14"/>
                <w:szCs w:val="16"/>
              </w:rPr>
            </w:pPr>
            <w:r>
              <w:rPr>
                <w:b/>
                <w:sz w:val="14"/>
                <w:szCs w:val="16"/>
              </w:rPr>
              <w:t>50%</w:t>
            </w:r>
          </w:p>
        </w:tc>
        <w:tc>
          <w:tcPr>
            <w:tcW w:w="567" w:type="dxa"/>
            <w:shd w:val="clear" w:color="auto" w:fill="E5B8B7" w:themeFill="accent2" w:themeFillTint="66"/>
            <w:vAlign w:val="center"/>
          </w:tcPr>
          <w:p w:rsidR="00444405" w:rsidRPr="00B34F76" w:rsidRDefault="00444405" w:rsidP="00CC48D1">
            <w:pPr>
              <w:jc w:val="center"/>
              <w:rPr>
                <w:b/>
                <w:sz w:val="16"/>
                <w:szCs w:val="16"/>
              </w:rPr>
            </w:pPr>
            <w:r>
              <w:rPr>
                <w:b/>
                <w:sz w:val="16"/>
                <w:szCs w:val="16"/>
              </w:rPr>
              <w:t>100%</w:t>
            </w:r>
          </w:p>
        </w:tc>
      </w:tr>
    </w:tbl>
    <w:p w:rsidR="00444405" w:rsidRDefault="00444405"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EC7F8B" w:rsidRDefault="00EC7F8B" w:rsidP="00EC7F8B">
      <w:pPr>
        <w:rPr>
          <w:rFonts w:eastAsia="Times New Roman"/>
          <w:b/>
          <w:color w:val="333333"/>
          <w:lang w:val="en-US" w:eastAsia="en-AU"/>
        </w:rPr>
      </w:pPr>
      <w:r>
        <w:rPr>
          <w:b/>
          <w:color w:val="333333"/>
          <w:lang w:val="en-US"/>
        </w:rPr>
        <w:br w:type="page"/>
      </w:r>
    </w:p>
    <w:p w:rsidR="00EC7F8B" w:rsidRDefault="00EC7F8B" w:rsidP="00EC7F8B">
      <w:pPr>
        <w:pStyle w:val="NormalWeb"/>
        <w:shd w:val="clear" w:color="auto" w:fill="FFFFFF" w:themeFill="background1"/>
        <w:spacing w:before="0" w:beforeAutospacing="0" w:after="0" w:afterAutospacing="0" w:line="276" w:lineRule="auto"/>
        <w:jc w:val="both"/>
        <w:rPr>
          <w:rFonts w:ascii="Arial" w:hAnsi="Arial" w:cs="Arial"/>
          <w:b/>
          <w:color w:val="333333"/>
          <w:sz w:val="20"/>
          <w:lang w:val="en-US"/>
        </w:rPr>
      </w:pPr>
      <w:r>
        <w:rPr>
          <w:rFonts w:ascii="Arial" w:hAnsi="Arial" w:cs="Arial"/>
          <w:b/>
          <w:color w:val="333333"/>
          <w:sz w:val="20"/>
          <w:lang w:val="en-US"/>
        </w:rPr>
        <w:lastRenderedPageBreak/>
        <w:t xml:space="preserve">REPORTING PERFORMANCE AND ACHIEVEMENT IN </w:t>
      </w:r>
      <w:r>
        <w:rPr>
          <w:rFonts w:ascii="Arial" w:hAnsi="Arial" w:cs="Arial"/>
          <w:b/>
          <w:color w:val="000000" w:themeColor="text1"/>
          <w:sz w:val="20"/>
        </w:rPr>
        <w:t>PRELIMINARY COURSES</w:t>
      </w:r>
    </w:p>
    <w:p w:rsidR="00EC7F8B" w:rsidRDefault="00EC7F8B" w:rsidP="00EC7F8B">
      <w:pPr>
        <w:pStyle w:val="NormalWeb"/>
        <w:spacing w:line="276" w:lineRule="auto"/>
        <w:rPr>
          <w:rFonts w:ascii="Arial" w:hAnsi="Arial" w:cs="Arial"/>
          <w:color w:val="000000"/>
          <w:sz w:val="20"/>
          <w:szCs w:val="20"/>
        </w:rPr>
      </w:pPr>
      <w:r>
        <w:rPr>
          <w:rFonts w:ascii="Arial" w:hAnsi="Arial" w:cs="Arial"/>
          <w:color w:val="000000"/>
          <w:sz w:val="20"/>
          <w:szCs w:val="20"/>
        </w:rPr>
        <w:t xml:space="preserve">The Common Grade Scale shown below is used to report student achievement and performance in the Preliminary Stage 6 year in all NSW schools. </w:t>
      </w:r>
    </w:p>
    <w:p w:rsidR="00EC7F8B" w:rsidRDefault="00EC7F8B" w:rsidP="00EC7F8B">
      <w:pPr>
        <w:pStyle w:val="NormalWeb"/>
        <w:spacing w:line="276" w:lineRule="auto"/>
        <w:rPr>
          <w:rFonts w:ascii="Arial" w:hAnsi="Arial" w:cs="Arial"/>
          <w:color w:val="000000"/>
          <w:sz w:val="20"/>
          <w:szCs w:val="20"/>
        </w:rPr>
      </w:pPr>
      <w:r>
        <w:rPr>
          <w:rFonts w:ascii="Arial" w:hAnsi="Arial" w:cs="Arial"/>
          <w:color w:val="000000"/>
          <w:sz w:val="20"/>
          <w:szCs w:val="20"/>
        </w:rPr>
        <w:t>The Common Grade Scale describes performance and achievement at each of five grade levels.</w:t>
      </w:r>
    </w:p>
    <w:tbl>
      <w:tblPr>
        <w:tblStyle w:val="TableGrid"/>
        <w:tblW w:w="0" w:type="auto"/>
        <w:tblLook w:val="04A0" w:firstRow="1" w:lastRow="0" w:firstColumn="1" w:lastColumn="0" w:noHBand="0" w:noVBand="1"/>
      </w:tblPr>
      <w:tblGrid>
        <w:gridCol w:w="1384"/>
        <w:gridCol w:w="8470"/>
      </w:tblGrid>
      <w:tr w:rsidR="00EC7F8B" w:rsidTr="00EC7F8B">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C7F8B" w:rsidRDefault="00EC7F8B">
            <w:pPr>
              <w:pStyle w:val="Heading2"/>
              <w:jc w:val="center"/>
              <w:rPr>
                <w:rFonts w:ascii="Arial" w:hAnsi="Arial" w:cs="Arial"/>
                <w:color w:val="000000" w:themeColor="text1"/>
                <w:sz w:val="40"/>
                <w:szCs w:val="40"/>
              </w:rPr>
            </w:pPr>
            <w:r>
              <w:rPr>
                <w:rFonts w:ascii="Arial" w:hAnsi="Arial" w:cs="Arial"/>
                <w:color w:val="000000" w:themeColor="text1"/>
                <w:sz w:val="40"/>
                <w:szCs w:val="40"/>
              </w:rPr>
              <w:t>A</w:t>
            </w:r>
          </w:p>
        </w:tc>
        <w:tc>
          <w:tcPr>
            <w:tcW w:w="8470" w:type="dxa"/>
            <w:tcBorders>
              <w:top w:val="single" w:sz="4" w:space="0" w:color="auto"/>
              <w:left w:val="single" w:sz="4" w:space="0" w:color="auto"/>
              <w:bottom w:val="single" w:sz="4" w:space="0" w:color="auto"/>
              <w:right w:val="single" w:sz="4" w:space="0" w:color="auto"/>
            </w:tcBorders>
            <w:vAlign w:val="center"/>
            <w:hideMark/>
          </w:tcPr>
          <w:p w:rsidR="00EC7F8B" w:rsidRDefault="00EC7F8B">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extensive knowledge of content and understanding of course concepts, and applies highly developed skills and processes in a wide variety of contexts. In addition the student demonstrates creative and critical thinking skills using perceptive analysis and evaluation. The student effectively communicates complex ideas and information.</w:t>
            </w:r>
          </w:p>
        </w:tc>
      </w:tr>
      <w:tr w:rsidR="00EC7F8B" w:rsidTr="00EC7F8B">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C7F8B" w:rsidRDefault="00EC7F8B">
            <w:pPr>
              <w:pStyle w:val="Heading2"/>
              <w:jc w:val="center"/>
              <w:rPr>
                <w:rFonts w:ascii="Arial" w:hAnsi="Arial" w:cs="Arial"/>
                <w:color w:val="000000" w:themeColor="text1"/>
                <w:sz w:val="40"/>
                <w:szCs w:val="40"/>
              </w:rPr>
            </w:pPr>
            <w:r>
              <w:rPr>
                <w:rFonts w:ascii="Arial" w:hAnsi="Arial" w:cs="Arial"/>
                <w:color w:val="000000" w:themeColor="text1"/>
                <w:sz w:val="40"/>
                <w:szCs w:val="40"/>
              </w:rPr>
              <w:t>B</w:t>
            </w:r>
          </w:p>
        </w:tc>
        <w:tc>
          <w:tcPr>
            <w:tcW w:w="8470" w:type="dxa"/>
            <w:tcBorders>
              <w:top w:val="single" w:sz="4" w:space="0" w:color="auto"/>
              <w:left w:val="single" w:sz="4" w:space="0" w:color="auto"/>
              <w:bottom w:val="single" w:sz="4" w:space="0" w:color="auto"/>
              <w:right w:val="single" w:sz="4" w:space="0" w:color="auto"/>
            </w:tcBorders>
            <w:vAlign w:val="center"/>
            <w:hideMark/>
          </w:tcPr>
          <w:p w:rsidR="00EC7F8B" w:rsidRDefault="00EC7F8B">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thorough knowledge of content and understanding of course concepts, and applies well-developed skills and processes in a variety of contexts. In addition the student demonstrates creative and critical thinking skills using analysis and evaluation. The student clearly communicates complex ideas and information.</w:t>
            </w:r>
          </w:p>
        </w:tc>
      </w:tr>
      <w:tr w:rsidR="00EC7F8B" w:rsidTr="00EC7F8B">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C7F8B" w:rsidRDefault="00EC7F8B">
            <w:pPr>
              <w:pStyle w:val="Heading2"/>
              <w:jc w:val="center"/>
              <w:rPr>
                <w:rFonts w:ascii="Arial" w:hAnsi="Arial" w:cs="Arial"/>
                <w:color w:val="000000" w:themeColor="text1"/>
                <w:sz w:val="40"/>
                <w:szCs w:val="40"/>
              </w:rPr>
            </w:pPr>
            <w:r>
              <w:rPr>
                <w:rFonts w:ascii="Arial" w:hAnsi="Arial" w:cs="Arial"/>
                <w:color w:val="000000" w:themeColor="text1"/>
                <w:sz w:val="40"/>
                <w:szCs w:val="40"/>
              </w:rPr>
              <w:t>C</w:t>
            </w:r>
          </w:p>
        </w:tc>
        <w:tc>
          <w:tcPr>
            <w:tcW w:w="8470" w:type="dxa"/>
            <w:tcBorders>
              <w:top w:val="single" w:sz="4" w:space="0" w:color="auto"/>
              <w:left w:val="single" w:sz="4" w:space="0" w:color="auto"/>
              <w:bottom w:val="single" w:sz="4" w:space="0" w:color="auto"/>
              <w:right w:val="single" w:sz="4" w:space="0" w:color="auto"/>
            </w:tcBorders>
            <w:vAlign w:val="center"/>
            <w:hideMark/>
          </w:tcPr>
          <w:p w:rsidR="00EC7F8B" w:rsidRDefault="00EC7F8B">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sound knowledge of content and understanding of course concepts, and applies skills and processes in a range of familiar contexts. In addition the student demonstrates skills in selecting and integrating information and communicates relevant ideas in an appropriate manner.</w:t>
            </w:r>
          </w:p>
        </w:tc>
      </w:tr>
      <w:tr w:rsidR="00EC7F8B" w:rsidTr="00EC7F8B">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C7F8B" w:rsidRDefault="00EC7F8B">
            <w:pPr>
              <w:pStyle w:val="Heading2"/>
              <w:jc w:val="center"/>
              <w:rPr>
                <w:rFonts w:ascii="Arial" w:hAnsi="Arial" w:cs="Arial"/>
                <w:color w:val="000000" w:themeColor="text1"/>
                <w:sz w:val="40"/>
                <w:szCs w:val="40"/>
              </w:rPr>
            </w:pPr>
            <w:r>
              <w:rPr>
                <w:rFonts w:ascii="Arial" w:hAnsi="Arial" w:cs="Arial"/>
                <w:color w:val="000000" w:themeColor="text1"/>
                <w:sz w:val="40"/>
                <w:szCs w:val="40"/>
              </w:rPr>
              <w:t>D</w:t>
            </w:r>
          </w:p>
        </w:tc>
        <w:tc>
          <w:tcPr>
            <w:tcW w:w="8470" w:type="dxa"/>
            <w:tcBorders>
              <w:top w:val="single" w:sz="4" w:space="0" w:color="auto"/>
              <w:left w:val="single" w:sz="4" w:space="0" w:color="auto"/>
              <w:bottom w:val="single" w:sz="4" w:space="0" w:color="auto"/>
              <w:right w:val="single" w:sz="4" w:space="0" w:color="auto"/>
            </w:tcBorders>
            <w:vAlign w:val="center"/>
            <w:hideMark/>
          </w:tcPr>
          <w:p w:rsidR="00EC7F8B" w:rsidRDefault="00EC7F8B">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 basic knowledge of content and understanding of course concepts, and applies skills and processes in some familiar contexts. In addition the student demonstrates skills in selecting and using information and communicates ideas in a descriptive manner.</w:t>
            </w:r>
          </w:p>
        </w:tc>
      </w:tr>
      <w:tr w:rsidR="00EC7F8B" w:rsidTr="00EC7F8B">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C7F8B" w:rsidRDefault="00EC7F8B">
            <w:pPr>
              <w:pStyle w:val="Heading2"/>
              <w:jc w:val="center"/>
              <w:rPr>
                <w:rFonts w:ascii="Arial" w:hAnsi="Arial" w:cs="Arial"/>
                <w:color w:val="000000" w:themeColor="text1"/>
                <w:sz w:val="40"/>
                <w:szCs w:val="40"/>
              </w:rPr>
            </w:pPr>
            <w:r>
              <w:rPr>
                <w:rFonts w:ascii="Arial" w:hAnsi="Arial" w:cs="Arial"/>
                <w:color w:val="000000" w:themeColor="text1"/>
                <w:sz w:val="40"/>
                <w:szCs w:val="40"/>
              </w:rPr>
              <w:t>E</w:t>
            </w:r>
          </w:p>
        </w:tc>
        <w:tc>
          <w:tcPr>
            <w:tcW w:w="8470" w:type="dxa"/>
            <w:tcBorders>
              <w:top w:val="single" w:sz="4" w:space="0" w:color="auto"/>
              <w:left w:val="single" w:sz="4" w:space="0" w:color="auto"/>
              <w:bottom w:val="single" w:sz="4" w:space="0" w:color="auto"/>
              <w:right w:val="single" w:sz="4" w:space="0" w:color="auto"/>
            </w:tcBorders>
            <w:vAlign w:val="center"/>
            <w:hideMark/>
          </w:tcPr>
          <w:p w:rsidR="00EC7F8B" w:rsidRDefault="00EC7F8B">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an elementary knowledge of content and understanding of course concepts, and applies some skills and processes with guidance. In addition the student demonstrates elementary skills in recounting information and communicating ideas.</w:t>
            </w:r>
          </w:p>
        </w:tc>
      </w:tr>
    </w:tbl>
    <w:p w:rsidR="00EC7F8B" w:rsidRDefault="00EC7F8B" w:rsidP="00EC7F8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EC7F8B" w:rsidRPr="004B2967" w:rsidRDefault="00EC7F8B"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bookmarkStart w:id="0" w:name="_GoBack"/>
      <w:bookmarkEnd w:id="0"/>
    </w:p>
    <w:sectPr w:rsidR="00EC7F8B" w:rsidRPr="004B2967" w:rsidSect="00605DC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8B" w:rsidRDefault="0071508B" w:rsidP="00210508">
      <w:r>
        <w:separator/>
      </w:r>
    </w:p>
  </w:endnote>
  <w:endnote w:type="continuationSeparator" w:id="0">
    <w:p w:rsidR="0071508B" w:rsidRDefault="0071508B" w:rsidP="0021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r>
      <w:rPr>
        <w:noProof/>
        <w:lang w:eastAsia="en-AU"/>
      </w:rPr>
      <w:drawing>
        <wp:anchor distT="0" distB="0" distL="114300" distR="114300" simplePos="0" relativeHeight="251659264" behindDoc="0" locked="0" layoutInCell="1" allowOverlap="1" wp14:anchorId="5A39B697" wp14:editId="731EB803">
          <wp:simplePos x="0" y="0"/>
          <wp:positionH relativeFrom="column">
            <wp:posOffset>5652135</wp:posOffset>
          </wp:positionH>
          <wp:positionV relativeFrom="paragraph">
            <wp:posOffset>-27940</wp:posOffset>
          </wp:positionV>
          <wp:extent cx="762000" cy="390525"/>
          <wp:effectExtent l="0" t="0" r="0" b="9525"/>
          <wp:wrapNone/>
          <wp:docPr id="46" name="Picture 46" descr="F:\IXL Logos\ixl_logo1.jpg"/>
          <wp:cNvGraphicFramePr/>
          <a:graphic xmlns:a="http://schemas.openxmlformats.org/drawingml/2006/main">
            <a:graphicData uri="http://schemas.openxmlformats.org/drawingml/2006/picture">
              <pic:pic xmlns:pic="http://schemas.openxmlformats.org/drawingml/2006/picture">
                <pic:nvPicPr>
                  <pic:cNvPr id="46" name="Picture 46" descr="F:\IXL Logos\ixl_logo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8B" w:rsidRDefault="0071508B" w:rsidP="00210508">
      <w:r>
        <w:separator/>
      </w:r>
    </w:p>
  </w:footnote>
  <w:footnote w:type="continuationSeparator" w:id="0">
    <w:p w:rsidR="0071508B" w:rsidRDefault="0071508B" w:rsidP="0021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EDA"/>
    <w:multiLevelType w:val="hybridMultilevel"/>
    <w:tmpl w:val="1A2445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6D5DB8"/>
    <w:multiLevelType w:val="hybridMultilevel"/>
    <w:tmpl w:val="66E242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C1412"/>
    <w:multiLevelType w:val="hybridMultilevel"/>
    <w:tmpl w:val="55DAE3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AED6406"/>
    <w:multiLevelType w:val="hybridMultilevel"/>
    <w:tmpl w:val="056C79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CC7304"/>
    <w:multiLevelType w:val="hybridMultilevel"/>
    <w:tmpl w:val="47F6F4CC"/>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712B83"/>
    <w:multiLevelType w:val="hybridMultilevel"/>
    <w:tmpl w:val="D6F2A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E178C2"/>
    <w:multiLevelType w:val="hybridMultilevel"/>
    <w:tmpl w:val="DDDCE2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F911E3"/>
    <w:multiLevelType w:val="hybridMultilevel"/>
    <w:tmpl w:val="BAE2EB1A"/>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1640A2"/>
    <w:multiLevelType w:val="hybridMultilevel"/>
    <w:tmpl w:val="2F844A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912DBB"/>
    <w:multiLevelType w:val="hybridMultilevel"/>
    <w:tmpl w:val="40B8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310C3F"/>
    <w:multiLevelType w:val="hybridMultilevel"/>
    <w:tmpl w:val="15CECC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400080"/>
    <w:multiLevelType w:val="hybridMultilevel"/>
    <w:tmpl w:val="DCA435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415B43"/>
    <w:multiLevelType w:val="hybridMultilevel"/>
    <w:tmpl w:val="A2701B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AC0296"/>
    <w:multiLevelType w:val="hybridMultilevel"/>
    <w:tmpl w:val="788881D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52223B5F"/>
    <w:multiLevelType w:val="hybridMultilevel"/>
    <w:tmpl w:val="E626F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4EB13DE"/>
    <w:multiLevelType w:val="hybridMultilevel"/>
    <w:tmpl w:val="3482B3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5855034A"/>
    <w:multiLevelType w:val="hybridMultilevel"/>
    <w:tmpl w:val="9B94FC48"/>
    <w:lvl w:ilvl="0" w:tplc="7E10B3E2">
      <w:start w:val="1"/>
      <w:numFmt w:val="decimal"/>
      <w:lvlText w:val="%1"/>
      <w:lvlJc w:val="left"/>
      <w:pPr>
        <w:ind w:left="4299" w:hanging="360"/>
      </w:pPr>
      <w:rPr>
        <w:rFonts w:hint="default"/>
      </w:rPr>
    </w:lvl>
    <w:lvl w:ilvl="1" w:tplc="0C090019" w:tentative="1">
      <w:start w:val="1"/>
      <w:numFmt w:val="lowerLetter"/>
      <w:lvlText w:val="%2."/>
      <w:lvlJc w:val="left"/>
      <w:pPr>
        <w:ind w:left="5019" w:hanging="360"/>
      </w:pPr>
    </w:lvl>
    <w:lvl w:ilvl="2" w:tplc="0C09001B" w:tentative="1">
      <w:start w:val="1"/>
      <w:numFmt w:val="lowerRoman"/>
      <w:lvlText w:val="%3."/>
      <w:lvlJc w:val="right"/>
      <w:pPr>
        <w:ind w:left="5739" w:hanging="180"/>
      </w:pPr>
    </w:lvl>
    <w:lvl w:ilvl="3" w:tplc="0C09000F" w:tentative="1">
      <w:start w:val="1"/>
      <w:numFmt w:val="decimal"/>
      <w:lvlText w:val="%4."/>
      <w:lvlJc w:val="left"/>
      <w:pPr>
        <w:ind w:left="6459" w:hanging="360"/>
      </w:pPr>
    </w:lvl>
    <w:lvl w:ilvl="4" w:tplc="0C090019" w:tentative="1">
      <w:start w:val="1"/>
      <w:numFmt w:val="lowerLetter"/>
      <w:lvlText w:val="%5."/>
      <w:lvlJc w:val="left"/>
      <w:pPr>
        <w:ind w:left="7179" w:hanging="360"/>
      </w:pPr>
    </w:lvl>
    <w:lvl w:ilvl="5" w:tplc="0C09001B" w:tentative="1">
      <w:start w:val="1"/>
      <w:numFmt w:val="lowerRoman"/>
      <w:lvlText w:val="%6."/>
      <w:lvlJc w:val="right"/>
      <w:pPr>
        <w:ind w:left="7899" w:hanging="180"/>
      </w:pPr>
    </w:lvl>
    <w:lvl w:ilvl="6" w:tplc="0C09000F" w:tentative="1">
      <w:start w:val="1"/>
      <w:numFmt w:val="decimal"/>
      <w:lvlText w:val="%7."/>
      <w:lvlJc w:val="left"/>
      <w:pPr>
        <w:ind w:left="8619" w:hanging="360"/>
      </w:pPr>
    </w:lvl>
    <w:lvl w:ilvl="7" w:tplc="0C090019" w:tentative="1">
      <w:start w:val="1"/>
      <w:numFmt w:val="lowerLetter"/>
      <w:lvlText w:val="%8."/>
      <w:lvlJc w:val="left"/>
      <w:pPr>
        <w:ind w:left="9339" w:hanging="360"/>
      </w:pPr>
    </w:lvl>
    <w:lvl w:ilvl="8" w:tplc="0C09001B" w:tentative="1">
      <w:start w:val="1"/>
      <w:numFmt w:val="lowerRoman"/>
      <w:lvlText w:val="%9."/>
      <w:lvlJc w:val="right"/>
      <w:pPr>
        <w:ind w:left="10059" w:hanging="180"/>
      </w:pPr>
    </w:lvl>
  </w:abstractNum>
  <w:abstractNum w:abstractNumId="17">
    <w:nsid w:val="59B71DB1"/>
    <w:multiLevelType w:val="hybridMultilevel"/>
    <w:tmpl w:val="5888E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D3087E"/>
    <w:multiLevelType w:val="hybridMultilevel"/>
    <w:tmpl w:val="F5BE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ED1C58"/>
    <w:multiLevelType w:val="hybridMultilevel"/>
    <w:tmpl w:val="4A2C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10"/>
  </w:num>
  <w:num w:numId="5">
    <w:abstractNumId w:val="4"/>
  </w:num>
  <w:num w:numId="6">
    <w:abstractNumId w:val="7"/>
  </w:num>
  <w:num w:numId="7">
    <w:abstractNumId w:val="18"/>
  </w:num>
  <w:num w:numId="8">
    <w:abstractNumId w:val="16"/>
  </w:num>
  <w:num w:numId="9">
    <w:abstractNumId w:val="19"/>
  </w:num>
  <w:num w:numId="10">
    <w:abstractNumId w:val="3"/>
  </w:num>
  <w:num w:numId="11">
    <w:abstractNumId w:val="13"/>
  </w:num>
  <w:num w:numId="12">
    <w:abstractNumId w:val="17"/>
  </w:num>
  <w:num w:numId="13">
    <w:abstractNumId w:val="14"/>
  </w:num>
  <w:num w:numId="14">
    <w:abstractNumId w:val="9"/>
  </w:num>
  <w:num w:numId="15">
    <w:abstractNumId w:val="15"/>
  </w:num>
  <w:num w:numId="16">
    <w:abstractNumId w:val="5"/>
  </w:num>
  <w:num w:numId="17">
    <w:abstractNumId w:val="2"/>
  </w:num>
  <w:num w:numId="18">
    <w:abstractNumId w:val="0"/>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4C"/>
    <w:rsid w:val="00023772"/>
    <w:rsid w:val="001779E4"/>
    <w:rsid w:val="00210508"/>
    <w:rsid w:val="00287CED"/>
    <w:rsid w:val="002F4C23"/>
    <w:rsid w:val="00431BF5"/>
    <w:rsid w:val="00444405"/>
    <w:rsid w:val="004B2967"/>
    <w:rsid w:val="004F3A05"/>
    <w:rsid w:val="005010E8"/>
    <w:rsid w:val="00542E44"/>
    <w:rsid w:val="00573DF3"/>
    <w:rsid w:val="00605DCF"/>
    <w:rsid w:val="00625DA0"/>
    <w:rsid w:val="006674C3"/>
    <w:rsid w:val="00697C66"/>
    <w:rsid w:val="00703ECA"/>
    <w:rsid w:val="00706C03"/>
    <w:rsid w:val="00711FB2"/>
    <w:rsid w:val="0071508B"/>
    <w:rsid w:val="0074146A"/>
    <w:rsid w:val="00762891"/>
    <w:rsid w:val="00782F8E"/>
    <w:rsid w:val="007910F1"/>
    <w:rsid w:val="007C1B4F"/>
    <w:rsid w:val="00801C75"/>
    <w:rsid w:val="00846B01"/>
    <w:rsid w:val="0097469D"/>
    <w:rsid w:val="009E527C"/>
    <w:rsid w:val="00A012A0"/>
    <w:rsid w:val="00A01ABB"/>
    <w:rsid w:val="00A046B5"/>
    <w:rsid w:val="00A277D6"/>
    <w:rsid w:val="00A911EC"/>
    <w:rsid w:val="00AD13CF"/>
    <w:rsid w:val="00AD4C7E"/>
    <w:rsid w:val="00B61893"/>
    <w:rsid w:val="00BA63A8"/>
    <w:rsid w:val="00C35925"/>
    <w:rsid w:val="00C778AC"/>
    <w:rsid w:val="00D03608"/>
    <w:rsid w:val="00DB184C"/>
    <w:rsid w:val="00DF6287"/>
    <w:rsid w:val="00DF675E"/>
    <w:rsid w:val="00E82F92"/>
    <w:rsid w:val="00EC7F8B"/>
    <w:rsid w:val="00EE3377"/>
    <w:rsid w:val="00F26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EC7F8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4B296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B2967"/>
    <w:rPr>
      <w:rFonts w:ascii="Times New Roman" w:eastAsia="Times New Roman" w:hAnsi="Times New Roman" w:cs="Times New Roman"/>
      <w:b/>
      <w:bCs/>
      <w:sz w:val="24"/>
      <w:szCs w:val="24"/>
    </w:rPr>
  </w:style>
  <w:style w:type="character" w:customStyle="1" w:styleId="NoSpacingChar">
    <w:name w:val="No Spacing Char"/>
    <w:link w:val="NoSpacing"/>
    <w:uiPriority w:val="1"/>
    <w:locked/>
    <w:rsid w:val="00444405"/>
    <w:rPr>
      <w:rFonts w:eastAsia="Calibri"/>
      <w:szCs w:val="22"/>
      <w:lang w:val="en-US" w:bidi="en-US"/>
    </w:rPr>
  </w:style>
  <w:style w:type="paragraph" w:styleId="NoSpacing">
    <w:name w:val="No Spacing"/>
    <w:basedOn w:val="Normal"/>
    <w:link w:val="NoSpacingChar"/>
    <w:uiPriority w:val="1"/>
    <w:qFormat/>
    <w:rsid w:val="00444405"/>
    <w:rPr>
      <w:rFonts w:eastAsia="Calibri"/>
      <w:szCs w:val="22"/>
      <w:lang w:val="en-US" w:bidi="en-US"/>
    </w:rPr>
  </w:style>
  <w:style w:type="character" w:customStyle="1" w:styleId="Heading2Char">
    <w:name w:val="Heading 2 Char"/>
    <w:basedOn w:val="DefaultParagraphFont"/>
    <w:link w:val="Heading2"/>
    <w:uiPriority w:val="9"/>
    <w:rsid w:val="00EC7F8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EC7F8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4B296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B2967"/>
    <w:rPr>
      <w:rFonts w:ascii="Times New Roman" w:eastAsia="Times New Roman" w:hAnsi="Times New Roman" w:cs="Times New Roman"/>
      <w:b/>
      <w:bCs/>
      <w:sz w:val="24"/>
      <w:szCs w:val="24"/>
    </w:rPr>
  </w:style>
  <w:style w:type="character" w:customStyle="1" w:styleId="NoSpacingChar">
    <w:name w:val="No Spacing Char"/>
    <w:link w:val="NoSpacing"/>
    <w:uiPriority w:val="1"/>
    <w:locked/>
    <w:rsid w:val="00444405"/>
    <w:rPr>
      <w:rFonts w:eastAsia="Calibri"/>
      <w:szCs w:val="22"/>
      <w:lang w:val="en-US" w:bidi="en-US"/>
    </w:rPr>
  </w:style>
  <w:style w:type="paragraph" w:styleId="NoSpacing">
    <w:name w:val="No Spacing"/>
    <w:basedOn w:val="Normal"/>
    <w:link w:val="NoSpacingChar"/>
    <w:uiPriority w:val="1"/>
    <w:qFormat/>
    <w:rsid w:val="00444405"/>
    <w:rPr>
      <w:rFonts w:eastAsia="Calibri"/>
      <w:szCs w:val="22"/>
      <w:lang w:val="en-US" w:bidi="en-US"/>
    </w:rPr>
  </w:style>
  <w:style w:type="character" w:customStyle="1" w:styleId="Heading2Char">
    <w:name w:val="Heading 2 Char"/>
    <w:basedOn w:val="DefaultParagraphFont"/>
    <w:link w:val="Heading2"/>
    <w:uiPriority w:val="9"/>
    <w:rsid w:val="00EC7F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7510">
      <w:bodyDiv w:val="1"/>
      <w:marLeft w:val="0"/>
      <w:marRight w:val="0"/>
      <w:marTop w:val="0"/>
      <w:marBottom w:val="0"/>
      <w:divBdr>
        <w:top w:val="none" w:sz="0" w:space="0" w:color="auto"/>
        <w:left w:val="none" w:sz="0" w:space="0" w:color="auto"/>
        <w:bottom w:val="none" w:sz="0" w:space="0" w:color="auto"/>
        <w:right w:val="none" w:sz="0" w:space="0" w:color="auto"/>
      </w:divBdr>
    </w:div>
    <w:div w:id="1361203243">
      <w:bodyDiv w:val="1"/>
      <w:marLeft w:val="0"/>
      <w:marRight w:val="0"/>
      <w:marTop w:val="0"/>
      <w:marBottom w:val="0"/>
      <w:divBdr>
        <w:top w:val="none" w:sz="0" w:space="0" w:color="auto"/>
        <w:left w:val="none" w:sz="0" w:space="0" w:color="auto"/>
        <w:bottom w:val="none" w:sz="0" w:space="0" w:color="auto"/>
        <w:right w:val="none" w:sz="0" w:space="0" w:color="auto"/>
      </w:divBdr>
      <w:divsChild>
        <w:div w:id="597250279">
          <w:marLeft w:val="0"/>
          <w:marRight w:val="0"/>
          <w:marTop w:val="0"/>
          <w:marBottom w:val="0"/>
          <w:divBdr>
            <w:top w:val="none" w:sz="0" w:space="0" w:color="auto"/>
            <w:left w:val="none" w:sz="0" w:space="0" w:color="auto"/>
            <w:bottom w:val="none" w:sz="0" w:space="0" w:color="auto"/>
            <w:right w:val="none" w:sz="0" w:space="0" w:color="auto"/>
          </w:divBdr>
          <w:divsChild>
            <w:div w:id="273483187">
              <w:marLeft w:val="0"/>
              <w:marRight w:val="0"/>
              <w:marTop w:val="0"/>
              <w:marBottom w:val="0"/>
              <w:divBdr>
                <w:top w:val="none" w:sz="0" w:space="0" w:color="auto"/>
                <w:left w:val="none" w:sz="0" w:space="0" w:color="auto"/>
                <w:bottom w:val="none" w:sz="0" w:space="0" w:color="auto"/>
                <w:right w:val="none" w:sz="0" w:space="0" w:color="auto"/>
              </w:divBdr>
              <w:divsChild>
                <w:div w:id="2110081473">
                  <w:marLeft w:val="0"/>
                  <w:marRight w:val="0"/>
                  <w:marTop w:val="0"/>
                  <w:marBottom w:val="0"/>
                  <w:divBdr>
                    <w:top w:val="none" w:sz="0" w:space="0" w:color="auto"/>
                    <w:left w:val="none" w:sz="0" w:space="0" w:color="auto"/>
                    <w:bottom w:val="none" w:sz="0" w:space="0" w:color="auto"/>
                    <w:right w:val="none" w:sz="0" w:space="0" w:color="auto"/>
                  </w:divBdr>
                  <w:divsChild>
                    <w:div w:id="1568613852">
                      <w:marLeft w:val="0"/>
                      <w:marRight w:val="0"/>
                      <w:marTop w:val="0"/>
                      <w:marBottom w:val="0"/>
                      <w:divBdr>
                        <w:top w:val="none" w:sz="0" w:space="0" w:color="auto"/>
                        <w:left w:val="none" w:sz="0" w:space="0" w:color="auto"/>
                        <w:bottom w:val="none" w:sz="0" w:space="0" w:color="auto"/>
                        <w:right w:val="none" w:sz="0" w:space="0" w:color="auto"/>
                      </w:divBdr>
                      <w:divsChild>
                        <w:div w:id="237249778">
                          <w:marLeft w:val="0"/>
                          <w:marRight w:val="0"/>
                          <w:marTop w:val="0"/>
                          <w:marBottom w:val="0"/>
                          <w:divBdr>
                            <w:top w:val="none" w:sz="0" w:space="0" w:color="auto"/>
                            <w:left w:val="none" w:sz="0" w:space="0" w:color="auto"/>
                            <w:bottom w:val="none" w:sz="0" w:space="0" w:color="auto"/>
                            <w:right w:val="none" w:sz="0" w:space="0" w:color="auto"/>
                          </w:divBdr>
                          <w:divsChild>
                            <w:div w:id="2095853578">
                              <w:marLeft w:val="0"/>
                              <w:marRight w:val="0"/>
                              <w:marTop w:val="0"/>
                              <w:marBottom w:val="0"/>
                              <w:divBdr>
                                <w:top w:val="none" w:sz="0" w:space="0" w:color="auto"/>
                                <w:left w:val="none" w:sz="0" w:space="0" w:color="auto"/>
                                <w:bottom w:val="none" w:sz="0" w:space="0" w:color="auto"/>
                                <w:right w:val="none" w:sz="0" w:space="0" w:color="auto"/>
                              </w:divBdr>
                              <w:divsChild>
                                <w:div w:id="1812212462">
                                  <w:marLeft w:val="0"/>
                                  <w:marRight w:val="0"/>
                                  <w:marTop w:val="0"/>
                                  <w:marBottom w:val="0"/>
                                  <w:divBdr>
                                    <w:top w:val="none" w:sz="0" w:space="0" w:color="auto"/>
                                    <w:left w:val="none" w:sz="0" w:space="0" w:color="auto"/>
                                    <w:bottom w:val="none" w:sz="0" w:space="0" w:color="auto"/>
                                    <w:right w:val="none" w:sz="0" w:space="0" w:color="auto"/>
                                  </w:divBdr>
                                  <w:divsChild>
                                    <w:div w:id="305203724">
                                      <w:marLeft w:val="300"/>
                                      <w:marRight w:val="0"/>
                                      <w:marTop w:val="0"/>
                                      <w:marBottom w:val="0"/>
                                      <w:divBdr>
                                        <w:top w:val="none" w:sz="0" w:space="0" w:color="auto"/>
                                        <w:left w:val="none" w:sz="0" w:space="0" w:color="auto"/>
                                        <w:bottom w:val="none" w:sz="0" w:space="0" w:color="auto"/>
                                        <w:right w:val="none" w:sz="0" w:space="0" w:color="auto"/>
                                      </w:divBdr>
                                      <w:divsChild>
                                        <w:div w:id="800154718">
                                          <w:marLeft w:val="0"/>
                                          <w:marRight w:val="0"/>
                                          <w:marTop w:val="0"/>
                                          <w:marBottom w:val="0"/>
                                          <w:divBdr>
                                            <w:top w:val="none" w:sz="0" w:space="0" w:color="auto"/>
                                            <w:left w:val="none" w:sz="0" w:space="0" w:color="auto"/>
                                            <w:bottom w:val="none" w:sz="0" w:space="0" w:color="auto"/>
                                            <w:right w:val="none" w:sz="0" w:space="0" w:color="auto"/>
                                          </w:divBdr>
                                          <w:divsChild>
                                            <w:div w:id="110394491">
                                              <w:marLeft w:val="0"/>
                                              <w:marRight w:val="0"/>
                                              <w:marTop w:val="0"/>
                                              <w:marBottom w:val="0"/>
                                              <w:divBdr>
                                                <w:top w:val="none" w:sz="0" w:space="0" w:color="auto"/>
                                                <w:left w:val="none" w:sz="0" w:space="0" w:color="auto"/>
                                                <w:bottom w:val="none" w:sz="0" w:space="0" w:color="auto"/>
                                                <w:right w:val="none" w:sz="0" w:space="0" w:color="auto"/>
                                              </w:divBdr>
                                              <w:divsChild>
                                                <w:div w:id="1155218099">
                                                  <w:marLeft w:val="0"/>
                                                  <w:marRight w:val="0"/>
                                                  <w:marTop w:val="0"/>
                                                  <w:marBottom w:val="0"/>
                                                  <w:divBdr>
                                                    <w:top w:val="none" w:sz="0" w:space="0" w:color="auto"/>
                                                    <w:left w:val="none" w:sz="0" w:space="0" w:color="auto"/>
                                                    <w:bottom w:val="none" w:sz="0" w:space="0" w:color="auto"/>
                                                    <w:right w:val="none" w:sz="0" w:space="0" w:color="auto"/>
                                                  </w:divBdr>
                                                  <w:divsChild>
                                                    <w:div w:id="267353399">
                                                      <w:marLeft w:val="0"/>
                                                      <w:marRight w:val="0"/>
                                                      <w:marTop w:val="0"/>
                                                      <w:marBottom w:val="0"/>
                                                      <w:divBdr>
                                                        <w:top w:val="none" w:sz="0" w:space="0" w:color="auto"/>
                                                        <w:left w:val="none" w:sz="0" w:space="0" w:color="auto"/>
                                                        <w:bottom w:val="none" w:sz="0" w:space="0" w:color="auto"/>
                                                        <w:right w:val="none" w:sz="0" w:space="0" w:color="auto"/>
                                                      </w:divBdr>
                                                      <w:divsChild>
                                                        <w:div w:id="1134061652">
                                                          <w:marLeft w:val="0"/>
                                                          <w:marRight w:val="0"/>
                                                          <w:marTop w:val="0"/>
                                                          <w:marBottom w:val="0"/>
                                                          <w:divBdr>
                                                            <w:top w:val="none" w:sz="0" w:space="0" w:color="auto"/>
                                                            <w:left w:val="none" w:sz="0" w:space="0" w:color="auto"/>
                                                            <w:bottom w:val="none" w:sz="0" w:space="0" w:color="auto"/>
                                                            <w:right w:val="none" w:sz="0" w:space="0" w:color="auto"/>
                                                          </w:divBdr>
                                                          <w:divsChild>
                                                            <w:div w:id="1528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414821">
      <w:bodyDiv w:val="1"/>
      <w:marLeft w:val="0"/>
      <w:marRight w:val="0"/>
      <w:marTop w:val="0"/>
      <w:marBottom w:val="0"/>
      <w:divBdr>
        <w:top w:val="none" w:sz="0" w:space="0" w:color="auto"/>
        <w:left w:val="none" w:sz="0" w:space="0" w:color="auto"/>
        <w:bottom w:val="none" w:sz="0" w:space="0" w:color="auto"/>
        <w:right w:val="none" w:sz="0" w:space="0" w:color="auto"/>
      </w:divBdr>
      <w:divsChild>
        <w:div w:id="858390930">
          <w:marLeft w:val="0"/>
          <w:marRight w:val="0"/>
          <w:marTop w:val="0"/>
          <w:marBottom w:val="0"/>
          <w:divBdr>
            <w:top w:val="none" w:sz="0" w:space="0" w:color="auto"/>
            <w:left w:val="none" w:sz="0" w:space="0" w:color="auto"/>
            <w:bottom w:val="none" w:sz="0" w:space="0" w:color="auto"/>
            <w:right w:val="none" w:sz="0" w:space="0" w:color="auto"/>
          </w:divBdr>
          <w:divsChild>
            <w:div w:id="557982026">
              <w:marLeft w:val="0"/>
              <w:marRight w:val="0"/>
              <w:marTop w:val="0"/>
              <w:marBottom w:val="0"/>
              <w:divBdr>
                <w:top w:val="none" w:sz="0" w:space="0" w:color="auto"/>
                <w:left w:val="none" w:sz="0" w:space="0" w:color="auto"/>
                <w:bottom w:val="none" w:sz="0" w:space="0" w:color="auto"/>
                <w:right w:val="none" w:sz="0" w:space="0" w:color="auto"/>
              </w:divBdr>
              <w:divsChild>
                <w:div w:id="1267150135">
                  <w:marLeft w:val="0"/>
                  <w:marRight w:val="0"/>
                  <w:marTop w:val="0"/>
                  <w:marBottom w:val="0"/>
                  <w:divBdr>
                    <w:top w:val="none" w:sz="0" w:space="0" w:color="auto"/>
                    <w:left w:val="none" w:sz="0" w:space="0" w:color="auto"/>
                    <w:bottom w:val="none" w:sz="0" w:space="0" w:color="auto"/>
                    <w:right w:val="none" w:sz="0" w:space="0" w:color="auto"/>
                  </w:divBdr>
                  <w:divsChild>
                    <w:div w:id="933171463">
                      <w:marLeft w:val="0"/>
                      <w:marRight w:val="0"/>
                      <w:marTop w:val="0"/>
                      <w:marBottom w:val="0"/>
                      <w:divBdr>
                        <w:top w:val="none" w:sz="0" w:space="0" w:color="auto"/>
                        <w:left w:val="none" w:sz="0" w:space="0" w:color="auto"/>
                        <w:bottom w:val="none" w:sz="0" w:space="0" w:color="auto"/>
                        <w:right w:val="none" w:sz="0" w:space="0" w:color="auto"/>
                      </w:divBdr>
                      <w:divsChild>
                        <w:div w:id="1813979770">
                          <w:marLeft w:val="0"/>
                          <w:marRight w:val="0"/>
                          <w:marTop w:val="0"/>
                          <w:marBottom w:val="0"/>
                          <w:divBdr>
                            <w:top w:val="none" w:sz="0" w:space="0" w:color="auto"/>
                            <w:left w:val="none" w:sz="0" w:space="0" w:color="auto"/>
                            <w:bottom w:val="none" w:sz="0" w:space="0" w:color="auto"/>
                            <w:right w:val="none" w:sz="0" w:space="0" w:color="auto"/>
                          </w:divBdr>
                          <w:divsChild>
                            <w:div w:id="1674989183">
                              <w:marLeft w:val="0"/>
                              <w:marRight w:val="0"/>
                              <w:marTop w:val="0"/>
                              <w:marBottom w:val="0"/>
                              <w:divBdr>
                                <w:top w:val="none" w:sz="0" w:space="0" w:color="auto"/>
                                <w:left w:val="none" w:sz="0" w:space="0" w:color="auto"/>
                                <w:bottom w:val="none" w:sz="0" w:space="0" w:color="auto"/>
                                <w:right w:val="none" w:sz="0" w:space="0" w:color="auto"/>
                              </w:divBdr>
                              <w:divsChild>
                                <w:div w:id="1167935742">
                                  <w:marLeft w:val="0"/>
                                  <w:marRight w:val="0"/>
                                  <w:marTop w:val="0"/>
                                  <w:marBottom w:val="0"/>
                                  <w:divBdr>
                                    <w:top w:val="none" w:sz="0" w:space="0" w:color="auto"/>
                                    <w:left w:val="none" w:sz="0" w:space="0" w:color="auto"/>
                                    <w:bottom w:val="none" w:sz="0" w:space="0" w:color="auto"/>
                                    <w:right w:val="none" w:sz="0" w:space="0" w:color="auto"/>
                                  </w:divBdr>
                                  <w:divsChild>
                                    <w:div w:id="988287282">
                                      <w:marLeft w:val="300"/>
                                      <w:marRight w:val="0"/>
                                      <w:marTop w:val="0"/>
                                      <w:marBottom w:val="0"/>
                                      <w:divBdr>
                                        <w:top w:val="none" w:sz="0" w:space="0" w:color="auto"/>
                                        <w:left w:val="none" w:sz="0" w:space="0" w:color="auto"/>
                                        <w:bottom w:val="none" w:sz="0" w:space="0" w:color="auto"/>
                                        <w:right w:val="none" w:sz="0" w:space="0" w:color="auto"/>
                                      </w:divBdr>
                                      <w:divsChild>
                                        <w:div w:id="1986200921">
                                          <w:marLeft w:val="0"/>
                                          <w:marRight w:val="0"/>
                                          <w:marTop w:val="0"/>
                                          <w:marBottom w:val="0"/>
                                          <w:divBdr>
                                            <w:top w:val="none" w:sz="0" w:space="0" w:color="auto"/>
                                            <w:left w:val="none" w:sz="0" w:space="0" w:color="auto"/>
                                            <w:bottom w:val="none" w:sz="0" w:space="0" w:color="auto"/>
                                            <w:right w:val="none" w:sz="0" w:space="0" w:color="auto"/>
                                          </w:divBdr>
                                          <w:divsChild>
                                            <w:div w:id="1542933712">
                                              <w:marLeft w:val="0"/>
                                              <w:marRight w:val="0"/>
                                              <w:marTop w:val="0"/>
                                              <w:marBottom w:val="0"/>
                                              <w:divBdr>
                                                <w:top w:val="none" w:sz="0" w:space="0" w:color="auto"/>
                                                <w:left w:val="none" w:sz="0" w:space="0" w:color="auto"/>
                                                <w:bottom w:val="none" w:sz="0" w:space="0" w:color="auto"/>
                                                <w:right w:val="none" w:sz="0" w:space="0" w:color="auto"/>
                                              </w:divBdr>
                                              <w:divsChild>
                                                <w:div w:id="1064568621">
                                                  <w:marLeft w:val="0"/>
                                                  <w:marRight w:val="0"/>
                                                  <w:marTop w:val="0"/>
                                                  <w:marBottom w:val="0"/>
                                                  <w:divBdr>
                                                    <w:top w:val="none" w:sz="0" w:space="0" w:color="auto"/>
                                                    <w:left w:val="none" w:sz="0" w:space="0" w:color="auto"/>
                                                    <w:bottom w:val="none" w:sz="0" w:space="0" w:color="auto"/>
                                                    <w:right w:val="none" w:sz="0" w:space="0" w:color="auto"/>
                                                  </w:divBdr>
                                                  <w:divsChild>
                                                    <w:div w:id="2075160095">
                                                      <w:marLeft w:val="0"/>
                                                      <w:marRight w:val="0"/>
                                                      <w:marTop w:val="0"/>
                                                      <w:marBottom w:val="0"/>
                                                      <w:divBdr>
                                                        <w:top w:val="none" w:sz="0" w:space="0" w:color="auto"/>
                                                        <w:left w:val="none" w:sz="0" w:space="0" w:color="auto"/>
                                                        <w:bottom w:val="none" w:sz="0" w:space="0" w:color="auto"/>
                                                        <w:right w:val="none" w:sz="0" w:space="0" w:color="auto"/>
                                                      </w:divBdr>
                                                      <w:divsChild>
                                                        <w:div w:id="803734681">
                                                          <w:marLeft w:val="0"/>
                                                          <w:marRight w:val="0"/>
                                                          <w:marTop w:val="0"/>
                                                          <w:marBottom w:val="0"/>
                                                          <w:divBdr>
                                                            <w:top w:val="none" w:sz="0" w:space="0" w:color="auto"/>
                                                            <w:left w:val="none" w:sz="0" w:space="0" w:color="auto"/>
                                                            <w:bottom w:val="none" w:sz="0" w:space="0" w:color="auto"/>
                                                            <w:right w:val="none" w:sz="0" w:space="0" w:color="auto"/>
                                                          </w:divBdr>
                                                          <w:divsChild>
                                                            <w:div w:id="2096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966023">
      <w:bodyDiv w:val="1"/>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sChild>
            <w:div w:id="527064168">
              <w:marLeft w:val="0"/>
              <w:marRight w:val="0"/>
              <w:marTop w:val="0"/>
              <w:marBottom w:val="0"/>
              <w:divBdr>
                <w:top w:val="none" w:sz="0" w:space="0" w:color="auto"/>
                <w:left w:val="none" w:sz="0" w:space="0" w:color="auto"/>
                <w:bottom w:val="none" w:sz="0" w:space="0" w:color="auto"/>
                <w:right w:val="none" w:sz="0" w:space="0" w:color="auto"/>
              </w:divBdr>
              <w:divsChild>
                <w:div w:id="1441142353">
                  <w:marLeft w:val="0"/>
                  <w:marRight w:val="0"/>
                  <w:marTop w:val="0"/>
                  <w:marBottom w:val="0"/>
                  <w:divBdr>
                    <w:top w:val="none" w:sz="0" w:space="0" w:color="auto"/>
                    <w:left w:val="none" w:sz="0" w:space="0" w:color="auto"/>
                    <w:bottom w:val="none" w:sz="0" w:space="0" w:color="auto"/>
                    <w:right w:val="none" w:sz="0" w:space="0" w:color="auto"/>
                  </w:divBdr>
                  <w:divsChild>
                    <w:div w:id="1396510800">
                      <w:marLeft w:val="0"/>
                      <w:marRight w:val="0"/>
                      <w:marTop w:val="0"/>
                      <w:marBottom w:val="0"/>
                      <w:divBdr>
                        <w:top w:val="none" w:sz="0" w:space="0" w:color="auto"/>
                        <w:left w:val="none" w:sz="0" w:space="0" w:color="auto"/>
                        <w:bottom w:val="none" w:sz="0" w:space="0" w:color="auto"/>
                        <w:right w:val="none" w:sz="0" w:space="0" w:color="auto"/>
                      </w:divBdr>
                      <w:divsChild>
                        <w:div w:id="1152329693">
                          <w:marLeft w:val="0"/>
                          <w:marRight w:val="0"/>
                          <w:marTop w:val="0"/>
                          <w:marBottom w:val="0"/>
                          <w:divBdr>
                            <w:top w:val="none" w:sz="0" w:space="0" w:color="auto"/>
                            <w:left w:val="none" w:sz="0" w:space="0" w:color="auto"/>
                            <w:bottom w:val="none" w:sz="0" w:space="0" w:color="auto"/>
                            <w:right w:val="none" w:sz="0" w:space="0" w:color="auto"/>
                          </w:divBdr>
                          <w:divsChild>
                            <w:div w:id="1396665357">
                              <w:marLeft w:val="0"/>
                              <w:marRight w:val="0"/>
                              <w:marTop w:val="0"/>
                              <w:marBottom w:val="0"/>
                              <w:divBdr>
                                <w:top w:val="none" w:sz="0" w:space="0" w:color="auto"/>
                                <w:left w:val="none" w:sz="0" w:space="0" w:color="auto"/>
                                <w:bottom w:val="none" w:sz="0" w:space="0" w:color="auto"/>
                                <w:right w:val="none" w:sz="0" w:space="0" w:color="auto"/>
                              </w:divBdr>
                              <w:divsChild>
                                <w:div w:id="688801936">
                                  <w:marLeft w:val="0"/>
                                  <w:marRight w:val="0"/>
                                  <w:marTop w:val="0"/>
                                  <w:marBottom w:val="0"/>
                                  <w:divBdr>
                                    <w:top w:val="none" w:sz="0" w:space="0" w:color="auto"/>
                                    <w:left w:val="none" w:sz="0" w:space="0" w:color="auto"/>
                                    <w:bottom w:val="none" w:sz="0" w:space="0" w:color="auto"/>
                                    <w:right w:val="none" w:sz="0" w:space="0" w:color="auto"/>
                                  </w:divBdr>
                                  <w:divsChild>
                                    <w:div w:id="247621013">
                                      <w:marLeft w:val="300"/>
                                      <w:marRight w:val="0"/>
                                      <w:marTop w:val="0"/>
                                      <w:marBottom w:val="0"/>
                                      <w:divBdr>
                                        <w:top w:val="none" w:sz="0" w:space="0" w:color="auto"/>
                                        <w:left w:val="none" w:sz="0" w:space="0" w:color="auto"/>
                                        <w:bottom w:val="none" w:sz="0" w:space="0" w:color="auto"/>
                                        <w:right w:val="none" w:sz="0" w:space="0" w:color="auto"/>
                                      </w:divBdr>
                                      <w:divsChild>
                                        <w:div w:id="167060566">
                                          <w:marLeft w:val="0"/>
                                          <w:marRight w:val="0"/>
                                          <w:marTop w:val="0"/>
                                          <w:marBottom w:val="0"/>
                                          <w:divBdr>
                                            <w:top w:val="none" w:sz="0" w:space="0" w:color="auto"/>
                                            <w:left w:val="none" w:sz="0" w:space="0" w:color="auto"/>
                                            <w:bottom w:val="none" w:sz="0" w:space="0" w:color="auto"/>
                                            <w:right w:val="none" w:sz="0" w:space="0" w:color="auto"/>
                                          </w:divBdr>
                                          <w:divsChild>
                                            <w:div w:id="813595537">
                                              <w:marLeft w:val="0"/>
                                              <w:marRight w:val="0"/>
                                              <w:marTop w:val="0"/>
                                              <w:marBottom w:val="0"/>
                                              <w:divBdr>
                                                <w:top w:val="none" w:sz="0" w:space="0" w:color="auto"/>
                                                <w:left w:val="none" w:sz="0" w:space="0" w:color="auto"/>
                                                <w:bottom w:val="none" w:sz="0" w:space="0" w:color="auto"/>
                                                <w:right w:val="none" w:sz="0" w:space="0" w:color="auto"/>
                                              </w:divBdr>
                                              <w:divsChild>
                                                <w:div w:id="1104879209">
                                                  <w:marLeft w:val="0"/>
                                                  <w:marRight w:val="0"/>
                                                  <w:marTop w:val="0"/>
                                                  <w:marBottom w:val="0"/>
                                                  <w:divBdr>
                                                    <w:top w:val="none" w:sz="0" w:space="0" w:color="auto"/>
                                                    <w:left w:val="none" w:sz="0" w:space="0" w:color="auto"/>
                                                    <w:bottom w:val="none" w:sz="0" w:space="0" w:color="auto"/>
                                                    <w:right w:val="none" w:sz="0" w:space="0" w:color="auto"/>
                                                  </w:divBdr>
                                                  <w:divsChild>
                                                    <w:div w:id="1067267795">
                                                      <w:marLeft w:val="0"/>
                                                      <w:marRight w:val="0"/>
                                                      <w:marTop w:val="0"/>
                                                      <w:marBottom w:val="0"/>
                                                      <w:divBdr>
                                                        <w:top w:val="none" w:sz="0" w:space="0" w:color="auto"/>
                                                        <w:left w:val="none" w:sz="0" w:space="0" w:color="auto"/>
                                                        <w:bottom w:val="none" w:sz="0" w:space="0" w:color="auto"/>
                                                        <w:right w:val="none" w:sz="0" w:space="0" w:color="auto"/>
                                                      </w:divBdr>
                                                      <w:divsChild>
                                                        <w:div w:id="1610744063">
                                                          <w:marLeft w:val="0"/>
                                                          <w:marRight w:val="0"/>
                                                          <w:marTop w:val="0"/>
                                                          <w:marBottom w:val="0"/>
                                                          <w:divBdr>
                                                            <w:top w:val="none" w:sz="0" w:space="0" w:color="auto"/>
                                                            <w:left w:val="none" w:sz="0" w:space="0" w:color="auto"/>
                                                            <w:bottom w:val="none" w:sz="0" w:space="0" w:color="auto"/>
                                                            <w:right w:val="none" w:sz="0" w:space="0" w:color="auto"/>
                                                          </w:divBdr>
                                                          <w:divsChild>
                                                            <w:div w:id="2034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Hargrave</dc:creator>
  <cp:lastModifiedBy>David Hargrave</cp:lastModifiedBy>
  <cp:revision>8</cp:revision>
  <cp:lastPrinted>2014-08-08T08:34:00Z</cp:lastPrinted>
  <dcterms:created xsi:type="dcterms:W3CDTF">2015-03-28T08:28:00Z</dcterms:created>
  <dcterms:modified xsi:type="dcterms:W3CDTF">2015-04-04T00:30:00Z</dcterms:modified>
</cp:coreProperties>
</file>